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76" w:lineRule="exact"/>
        <w:jc w:val="center"/>
        <w:rPr>
          <w:rFonts w:hint="eastAsia" w:ascii="方正公文小标宋" w:hAnsi="方正公文小标宋" w:eastAsia="方正公文小标宋" w:cs="方正公文小标宋"/>
          <w:sz w:val="44"/>
          <w:szCs w:val="44"/>
        </w:rPr>
      </w:pPr>
    </w:p>
    <w:p>
      <w:pPr>
        <w:spacing w:line="576" w:lineRule="exact"/>
        <w:jc w:val="center"/>
        <w:rPr>
          <w:rFonts w:hint="eastAsia" w:ascii="方正公文小标宋" w:hAnsi="方正公文小标宋" w:eastAsia="方正公文小标宋" w:cs="方正公文小标宋"/>
          <w:sz w:val="44"/>
          <w:szCs w:val="44"/>
        </w:rPr>
      </w:pPr>
    </w:p>
    <w:p>
      <w:pPr>
        <w:spacing w:line="576" w:lineRule="exact"/>
        <w:jc w:val="center"/>
        <w:rPr>
          <w:rFonts w:hint="eastAsia" w:ascii="方正公文小标宋" w:hAnsi="方正公文小标宋" w:eastAsia="方正公文小标宋" w:cs="方正公文小标宋"/>
          <w:sz w:val="44"/>
          <w:szCs w:val="44"/>
        </w:rPr>
      </w:pPr>
      <w:bookmarkStart w:id="0" w:name="_GoBack"/>
      <w:r>
        <w:rPr>
          <w:rFonts w:hint="eastAsia" w:ascii="方正公文小标宋" w:hAnsi="方正公文小标宋" w:eastAsia="方正公文小标宋" w:cs="方正公文小标宋"/>
          <w:sz w:val="44"/>
          <w:szCs w:val="44"/>
        </w:rPr>
        <w:t>吉林市乡村绿化管理办法</w:t>
      </w:r>
    </w:p>
    <w:bookmarkEnd w:id="0"/>
    <w:p>
      <w:pPr>
        <w:spacing w:line="576" w:lineRule="exact"/>
        <w:jc w:val="center"/>
        <w:rPr>
          <w:rFonts w:hint="eastAsia" w:ascii="方正公文小标宋" w:hAnsi="方正公文小标宋" w:eastAsia="方正公文小标宋" w:cs="方正公文小标宋"/>
          <w:sz w:val="44"/>
          <w:szCs w:val="44"/>
        </w:rPr>
      </w:pPr>
    </w:p>
    <w:p>
      <w:pPr>
        <w:autoSpaceDN w:val="0"/>
        <w:spacing w:line="576" w:lineRule="exact"/>
        <w:ind w:firstLine="664" w:firstLineChars="200"/>
        <w:rPr>
          <w:rFonts w:hint="eastAsia" w:ascii="楷体" w:hAnsi="楷体" w:eastAsia="楷体" w:cs="楷体"/>
          <w:spacing w:val="6"/>
          <w:sz w:val="32"/>
          <w:szCs w:val="32"/>
        </w:rPr>
      </w:pPr>
      <w:r>
        <w:rPr>
          <w:rFonts w:hint="eastAsia" w:ascii="楷体" w:hAnsi="楷体" w:eastAsia="楷体" w:cs="楷体"/>
          <w:spacing w:val="6"/>
          <w:sz w:val="32"/>
          <w:szCs w:val="32"/>
        </w:rPr>
        <w:t>(2010年4月6日吉林市人民政府令第204号公布  根据2016年9月6日吉林市人民政府令第236号第一次修订  根据2023年2月1日吉林市人民政府令第243号第二次修订  根据</w:t>
      </w:r>
      <w:r>
        <w:rPr>
          <w:rFonts w:ascii="楷体" w:hAnsi="楷体" w:eastAsia="楷体" w:cs="楷体"/>
          <w:spacing w:val="6"/>
          <w:sz w:val="32"/>
          <w:szCs w:val="32"/>
          <w:lang w:val="en"/>
        </w:rPr>
        <w:t>2023年</w:t>
      </w:r>
      <w:r>
        <w:rPr>
          <w:rFonts w:hint="eastAsia" w:ascii="楷体" w:hAnsi="楷体" w:eastAsia="楷体" w:cs="楷体"/>
          <w:spacing w:val="6"/>
          <w:sz w:val="32"/>
          <w:szCs w:val="32"/>
          <w:lang w:val="en"/>
        </w:rPr>
        <w:t>12</w:t>
      </w:r>
      <w:r>
        <w:rPr>
          <w:rFonts w:ascii="楷体" w:hAnsi="楷体" w:eastAsia="楷体" w:cs="楷体"/>
          <w:spacing w:val="6"/>
          <w:sz w:val="32"/>
          <w:szCs w:val="32"/>
          <w:lang w:val="en"/>
        </w:rPr>
        <w:t>月</w:t>
      </w:r>
      <w:r>
        <w:rPr>
          <w:rFonts w:hint="eastAsia" w:ascii="楷体" w:hAnsi="楷体" w:eastAsia="楷体" w:cs="楷体"/>
          <w:spacing w:val="6"/>
          <w:sz w:val="32"/>
          <w:szCs w:val="32"/>
          <w:lang w:val="en"/>
        </w:rPr>
        <w:t>12</w:t>
      </w:r>
      <w:r>
        <w:rPr>
          <w:rFonts w:ascii="楷体" w:hAnsi="楷体" w:eastAsia="楷体" w:cs="楷体"/>
          <w:spacing w:val="6"/>
          <w:sz w:val="32"/>
          <w:szCs w:val="32"/>
          <w:lang w:val="en"/>
        </w:rPr>
        <w:t>日</w:t>
      </w:r>
      <w:r>
        <w:rPr>
          <w:rFonts w:hint="eastAsia" w:ascii="楷体" w:hAnsi="楷体" w:eastAsia="楷体" w:cs="楷体"/>
          <w:spacing w:val="6"/>
          <w:sz w:val="32"/>
          <w:szCs w:val="32"/>
        </w:rPr>
        <w:t>吉林市人民政府令第244号第三次修订)</w:t>
      </w:r>
    </w:p>
    <w:p>
      <w:pPr>
        <w:autoSpaceDN w:val="0"/>
        <w:spacing w:line="576" w:lineRule="exact"/>
        <w:ind w:firstLine="640" w:firstLineChars="200"/>
        <w:rPr>
          <w:rFonts w:hint="eastAsia" w:ascii="楷体_GB2312" w:hAnsi="楷体_GB2312" w:eastAsia="楷体_GB2312" w:cs="楷体_GB2312"/>
          <w:sz w:val="32"/>
          <w:szCs w:val="32"/>
        </w:rPr>
      </w:pPr>
    </w:p>
    <w:p>
      <w:pPr>
        <w:autoSpaceDN w:val="0"/>
        <w:spacing w:line="576" w:lineRule="exac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瀹嬩綋" w:hAnsi="宋体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</w:t>
      </w:r>
      <w:r>
        <w:rPr>
          <w:rFonts w:hint="eastAsia" w:ascii="黑体" w:hAnsi="黑体" w:eastAsia="黑体" w:cs="黑体"/>
          <w:sz w:val="32"/>
          <w:szCs w:val="32"/>
        </w:rPr>
        <w:t>第一条</w:t>
      </w:r>
      <w:r>
        <w:rPr>
          <w:rFonts w:hint="eastAsia" w:ascii="宋体" w:hAnsi="宋体" w:cs="宋体"/>
          <w:sz w:val="32"/>
          <w:szCs w:val="32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为进一步加快全市乡村绿化事业发展，改善生态环境，美化村容村貌，巩固绿化美化成果，根据有关法律、法规的规定，结合本市实际，制定本办法。</w:t>
      </w:r>
    </w:p>
    <w:p>
      <w:pPr>
        <w:autoSpaceDN w:val="0"/>
        <w:spacing w:line="576" w:lineRule="exac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</w:t>
      </w:r>
      <w:r>
        <w:rPr>
          <w:rFonts w:hint="eastAsia" w:ascii="黑体" w:hAnsi="黑体" w:eastAsia="黑体" w:cs="黑体"/>
          <w:sz w:val="32"/>
          <w:szCs w:val="32"/>
        </w:rPr>
        <w:t xml:space="preserve">第二条  </w:t>
      </w:r>
      <w:r>
        <w:rPr>
          <w:rFonts w:hint="eastAsia" w:ascii="仿宋_GB2312" w:hAnsi="仿宋_GB2312" w:eastAsia="仿宋_GB2312" w:cs="仿宋_GB2312"/>
          <w:sz w:val="32"/>
          <w:szCs w:val="32"/>
        </w:rPr>
        <w:t>本办法所称乡村绿化是指乡村建设与发展过程中的系统公共绿化，村、屯内外田边、水边、路边以及村、屯周边等公共活动场所的绿化，村、屯内房前屋后的绿化，乡、村、屯公路的绿化。</w:t>
      </w:r>
    </w:p>
    <w:p>
      <w:pPr>
        <w:autoSpaceDN w:val="0"/>
        <w:spacing w:line="576" w:lineRule="exac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</w:t>
      </w:r>
      <w:r>
        <w:rPr>
          <w:rFonts w:hint="eastAsia" w:ascii="黑体" w:hAnsi="黑体" w:eastAsia="黑体" w:cs="黑体"/>
          <w:sz w:val="32"/>
          <w:szCs w:val="32"/>
        </w:rPr>
        <w:t>第三条</w:t>
      </w:r>
      <w:r>
        <w:rPr>
          <w:rFonts w:hint="eastAsia" w:ascii="方正黑体_GBK" w:hAnsi="方正黑体_GBK" w:eastAsia="方正黑体_GBK" w:cs="方正黑体_GBK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本办法适用于本市行政区域内乡村绿化的规划、建设、管护及相关管理活动。</w:t>
      </w:r>
    </w:p>
    <w:p>
      <w:pPr>
        <w:autoSpaceDN w:val="0"/>
        <w:spacing w:line="576" w:lineRule="exac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</w:t>
      </w:r>
      <w:r>
        <w:rPr>
          <w:rFonts w:hint="eastAsia" w:ascii="黑体" w:hAnsi="黑体" w:eastAsia="黑体" w:cs="黑体"/>
          <w:sz w:val="32"/>
          <w:szCs w:val="32"/>
        </w:rPr>
        <w:t xml:space="preserve"> 第四条 </w:t>
      </w:r>
      <w:r>
        <w:rPr>
          <w:rFonts w:hint="eastAsia" w:ascii="宋体" w:hAnsi="宋体" w:cs="宋体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市、县（市）区人民政府绿化委员会负责部署、指导本辖区乡村绿化工作。绿化委员会下设的办公室负责乡村绿化的协调、组织工作。</w:t>
      </w:r>
    </w:p>
    <w:p>
      <w:pPr>
        <w:autoSpaceDN w:val="0"/>
        <w:spacing w:line="576" w:lineRule="exac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市、县（市）区林业和草原主管部门负责乡村绿化的监督管理工作，并对违法行为进行处罚。</w:t>
      </w:r>
    </w:p>
    <w:p>
      <w:pPr>
        <w:autoSpaceDN w:val="0"/>
        <w:spacing w:line="576" w:lineRule="exac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乡（镇）人民政府在县（市）区绿化委员会指导下，负责组织实施本辖区乡村绿化和日常监督管理工作。</w:t>
      </w:r>
    </w:p>
    <w:p>
      <w:pPr>
        <w:autoSpaceDN w:val="0"/>
        <w:spacing w:line="576" w:lineRule="exac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规划和自然资源、财政、交通、农业农村、水利等部门按照各自职责做好乡村绿化工作。</w:t>
      </w:r>
    </w:p>
    <w:p>
      <w:pPr>
        <w:autoSpaceDN w:val="0"/>
        <w:spacing w:line="576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第五条</w:t>
      </w:r>
      <w:r>
        <w:rPr>
          <w:rFonts w:hint="eastAsia" w:ascii="宋体" w:hAnsi="宋体" w:cs="宋体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市、县（市）区绿化委员会应当定期对乡村绿化建设、管护情况进行督促、检查，组织评比表彰。</w:t>
      </w:r>
    </w:p>
    <w:p>
      <w:pPr>
        <w:autoSpaceDN w:val="0"/>
        <w:spacing w:line="576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 xml:space="preserve">第六条 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市、县（市）区绿化委员会负责编制本辖区乡村绿化规划。</w:t>
      </w:r>
    </w:p>
    <w:p>
      <w:pPr>
        <w:autoSpaceDN w:val="0"/>
        <w:spacing w:line="576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 xml:space="preserve">第七条 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乡村绿化的建设、管护实行区域责任分工负责制，按照下列规定划分责任：</w:t>
      </w:r>
    </w:p>
    <w:p>
      <w:pPr>
        <w:autoSpaceDN w:val="0"/>
        <w:spacing w:line="576" w:lineRule="exac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（一）乡（镇）人民政府所在地、农田防护林、荒山以及乡、村、屯公路，村、屯内及其周边，由所在地乡（镇）人民政府负责。</w:t>
      </w:r>
    </w:p>
    <w:p>
      <w:pPr>
        <w:autoSpaceDN w:val="0"/>
        <w:spacing w:line="576" w:lineRule="exac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（二）江河两侧，湖泊、水库周边属于水利行政主管部门管辖区域内的，由水利行政主管部门负责。</w:t>
      </w:r>
    </w:p>
    <w:p>
      <w:pPr>
        <w:autoSpaceDN w:val="0"/>
        <w:spacing w:line="576" w:lineRule="exac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（三）穿越乡（镇）、村、屯的铁路、县级以上公路，分别由铁路、公路主管部门负责；专用铁路、公路，由专用单位负责。</w:t>
      </w:r>
    </w:p>
    <w:p>
      <w:pPr>
        <w:autoSpaceDN w:val="0"/>
        <w:spacing w:line="576" w:lineRule="exac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（四）自留山、自留地，由经营者负责。</w:t>
      </w:r>
    </w:p>
    <w:p>
      <w:pPr>
        <w:autoSpaceDN w:val="0"/>
        <w:spacing w:line="576" w:lineRule="exac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（五）国有林业局、森林经营局、国有林场、集体林场经营区内，由本单位负责。</w:t>
      </w:r>
    </w:p>
    <w:p>
      <w:pPr>
        <w:autoSpaceDN w:val="0"/>
        <w:spacing w:line="576" w:lineRule="exac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（六）机关、团体、学校、部队、工矿及其他企事业单位辖区内，由本单位负责。</w:t>
      </w:r>
    </w:p>
    <w:p>
      <w:pPr>
        <w:autoSpaceDN w:val="0"/>
        <w:spacing w:line="576" w:lineRule="exact"/>
        <w:rPr>
          <w:rFonts w:hint="eastAsia" w:ascii="宋体" w:hAnsi="宋体" w:cs="宋体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通过各种形式取得乡村绿化承包权的，由绿化植被所有人或者通过协议明确的乡村绿化管护责任人负责。</w:t>
      </w:r>
    </w:p>
    <w:p>
      <w:pPr>
        <w:autoSpaceDN w:val="0"/>
        <w:spacing w:line="576" w:lineRule="exac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</w:t>
      </w:r>
      <w:r>
        <w:rPr>
          <w:rFonts w:hint="eastAsia" w:ascii="宋体" w:hAnsi="宋体" w:cs="宋体"/>
          <w:sz w:val="32"/>
          <w:szCs w:val="32"/>
        </w:rPr>
        <w:t xml:space="preserve"> </w:t>
      </w:r>
      <w:r>
        <w:rPr>
          <w:rFonts w:hint="eastAsia" w:ascii="黑体" w:hAnsi="黑体" w:eastAsia="黑体" w:cs="黑体"/>
          <w:sz w:val="32"/>
          <w:szCs w:val="32"/>
        </w:rPr>
        <w:t xml:space="preserve">第八条  </w:t>
      </w:r>
      <w:r>
        <w:rPr>
          <w:rFonts w:hint="eastAsia" w:ascii="仿宋_GB2312" w:hAnsi="仿宋_GB2312" w:eastAsia="仿宋_GB2312" w:cs="仿宋_GB2312"/>
          <w:sz w:val="32"/>
          <w:szCs w:val="32"/>
        </w:rPr>
        <w:t>乡（镇）人民政府及各管护责任单位负责明确本责任区域的绿化管护责任人。</w:t>
      </w:r>
    </w:p>
    <w:p>
      <w:pPr>
        <w:autoSpaceDN w:val="0"/>
        <w:spacing w:line="576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第九条</w:t>
      </w:r>
      <w:r>
        <w:rPr>
          <w:rFonts w:hint="eastAsia" w:ascii="宋体" w:hAnsi="宋体" w:cs="宋体"/>
          <w:sz w:val="32"/>
          <w:szCs w:val="32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乡村绿化责任单位和个人必须按照规定履行乡村绿化义务，完成乡村绿化管护任务。</w:t>
      </w:r>
    </w:p>
    <w:p>
      <w:pPr>
        <w:autoSpaceDN w:val="0"/>
        <w:spacing w:line="576" w:lineRule="exac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</w:t>
      </w:r>
      <w:r>
        <w:rPr>
          <w:rFonts w:hint="eastAsia" w:ascii="黑体" w:hAnsi="黑体" w:eastAsia="黑体" w:cs="黑体"/>
          <w:sz w:val="32"/>
          <w:szCs w:val="32"/>
        </w:rPr>
        <w:t xml:space="preserve">第十条 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乡村绿化责任单位和个人应当根据所在地县（市）区乡村绿化规划，组织实施乡村绿化工作。</w:t>
      </w:r>
    </w:p>
    <w:p>
      <w:pPr>
        <w:autoSpaceDN w:val="0"/>
        <w:spacing w:line="576" w:lineRule="exac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</w:t>
      </w:r>
      <w:r>
        <w:rPr>
          <w:rFonts w:hint="eastAsia" w:ascii="黑体" w:hAnsi="黑体" w:eastAsia="黑体" w:cs="黑体"/>
          <w:sz w:val="32"/>
          <w:szCs w:val="32"/>
        </w:rPr>
        <w:t xml:space="preserve"> 第十一条</w:t>
      </w:r>
      <w:r>
        <w:rPr>
          <w:rFonts w:hint="eastAsia" w:ascii="方正黑体_GBK" w:hAnsi="方正黑体_GBK" w:eastAsia="方正黑体_GBK" w:cs="方正黑体_GBK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乡（镇）人民政府应当建立乡村绿化工作档案，记载乡村绿化用地、建设、管护等数据，实施绿化成果数据动态管理。                                           </w:t>
      </w:r>
    </w:p>
    <w:p>
      <w:pPr>
        <w:autoSpaceDN w:val="0"/>
        <w:spacing w:line="576" w:lineRule="exac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</w:t>
      </w:r>
      <w:r>
        <w:rPr>
          <w:rFonts w:hint="eastAsia" w:ascii="宋体" w:hAnsi="宋体" w:cs="宋体"/>
          <w:sz w:val="32"/>
          <w:szCs w:val="32"/>
        </w:rPr>
        <w:t xml:space="preserve"> </w:t>
      </w:r>
      <w:r>
        <w:rPr>
          <w:rFonts w:hint="eastAsia" w:ascii="黑体" w:hAnsi="黑体" w:eastAsia="黑体" w:cs="黑体"/>
          <w:sz w:val="32"/>
          <w:szCs w:val="32"/>
        </w:rPr>
        <w:t xml:space="preserve">第十二条 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种植绿化植被、建设绿化设施应当遵循多形式、多层次、因地制宜的原则，保证乡村绿化的景观效果。</w:t>
      </w:r>
    </w:p>
    <w:p>
      <w:pPr>
        <w:autoSpaceDN w:val="0"/>
        <w:spacing w:line="576" w:lineRule="exac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</w:t>
      </w:r>
      <w:r>
        <w:rPr>
          <w:rFonts w:hint="eastAsia" w:ascii="宋体" w:hAnsi="宋体" w:cs="宋体"/>
          <w:sz w:val="32"/>
          <w:szCs w:val="32"/>
        </w:rPr>
        <w:t xml:space="preserve">  </w:t>
      </w:r>
      <w:r>
        <w:rPr>
          <w:rFonts w:hint="eastAsia" w:ascii="黑体" w:hAnsi="黑体" w:eastAsia="黑体" w:cs="黑体"/>
          <w:sz w:val="32"/>
          <w:szCs w:val="32"/>
        </w:rPr>
        <w:t xml:space="preserve">第十三条 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乡、村、屯公路两侧均应当修建或者恢复绿化植树台。</w:t>
      </w:r>
    </w:p>
    <w:p>
      <w:pPr>
        <w:autoSpaceDN w:val="0"/>
        <w:spacing w:line="576" w:lineRule="exac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</w:t>
      </w:r>
      <w:r>
        <w:rPr>
          <w:rFonts w:hint="eastAsia" w:ascii="黑体" w:hAnsi="黑体" w:eastAsia="黑体" w:cs="黑体"/>
          <w:sz w:val="32"/>
          <w:szCs w:val="32"/>
        </w:rPr>
        <w:t xml:space="preserve"> 第十四条 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乡村绿化工程的施工单位或者个人应当在绿化项目交付使用时，登记绿化面积、绿化设施建设情况及绿化植被品种、株数等有关内容，并将登记资料移交乡村绿化责任单位和个人管理。</w:t>
      </w:r>
    </w:p>
    <w:p>
      <w:pPr>
        <w:autoSpaceDN w:val="0"/>
        <w:spacing w:line="576" w:lineRule="exac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 xml:space="preserve">    第十五条</w:t>
      </w:r>
      <w:r>
        <w:rPr>
          <w:rFonts w:hint="eastAsia" w:ascii="宋体" w:hAnsi="宋体" w:cs="宋体"/>
          <w:sz w:val="32"/>
          <w:szCs w:val="32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乡村绿化责任单位和个人应当根据绿化工程登记资料做好绿化植被、设施的管护工作。</w:t>
      </w:r>
    </w:p>
    <w:p>
      <w:pPr>
        <w:autoSpaceDN w:val="0"/>
        <w:spacing w:line="576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绿化植被丢失、死亡或者患病虫害的，乡村绿化责任单位和个人应当及时予以补植、更换或者防治，并负责补栽树木3年成活期的管护。   </w:t>
      </w:r>
    </w:p>
    <w:p>
      <w:pPr>
        <w:autoSpaceDN w:val="0"/>
        <w:spacing w:line="576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绿化设施损坏或者丢失的，乡村绿化责任单位和个人应当及时恢复。</w:t>
      </w:r>
    </w:p>
    <w:p>
      <w:pPr>
        <w:autoSpaceDN w:val="0"/>
        <w:spacing w:line="576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第十六条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建设单位施工作业时，应当采取有效的避让措施，保护绿化植被、设施。</w:t>
      </w:r>
    </w:p>
    <w:p>
      <w:pPr>
        <w:autoSpaceDN w:val="0"/>
        <w:spacing w:line="576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因施工作业造成绿化植被、设施损毁的，建设单位应当在工程竣工1年内，恢复绿化植被、设施；无法恢复绿化植被、设施的，建设单位必须按照规定标准缴纳植被、设施恢复费。</w:t>
      </w:r>
    </w:p>
    <w:p>
      <w:pPr>
        <w:autoSpaceDN w:val="0"/>
        <w:spacing w:line="576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第十七条</w:t>
      </w:r>
      <w:r>
        <w:rPr>
          <w:rFonts w:hint="eastAsia" w:ascii="方正黑体_GBK" w:hAnsi="方正黑体_GBK" w:eastAsia="方正黑体_GBK" w:cs="方正黑体_GBK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任何单位和个人不得擅自占用乡村绿化用地。</w:t>
      </w:r>
    </w:p>
    <w:p>
      <w:pPr>
        <w:autoSpaceDN w:val="0"/>
        <w:spacing w:line="576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确需占用的，应当依法办理相关手续。</w:t>
      </w:r>
    </w:p>
    <w:p>
      <w:pPr>
        <w:autoSpaceDN w:val="0"/>
        <w:spacing w:line="576" w:lineRule="exac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宋体" w:hAnsi="宋体" w:cs="宋体"/>
          <w:sz w:val="32"/>
          <w:szCs w:val="32"/>
        </w:rPr>
        <w:t xml:space="preserve">   </w:t>
      </w:r>
      <w:r>
        <w:rPr>
          <w:rFonts w:hint="eastAsia" w:ascii="黑体" w:hAnsi="黑体" w:eastAsia="黑体" w:cs="黑体"/>
          <w:sz w:val="32"/>
          <w:szCs w:val="32"/>
        </w:rPr>
        <w:t xml:space="preserve"> 第十八条 </w:t>
      </w:r>
      <w:r>
        <w:rPr>
          <w:rFonts w:hint="eastAsia" w:ascii="宋体" w:hAnsi="宋体" w:cs="宋体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乡村绿化用地范围内禁止实施下列行为：</w:t>
      </w:r>
    </w:p>
    <w:p>
      <w:pPr>
        <w:autoSpaceDN w:val="0"/>
        <w:spacing w:line="576" w:lineRule="exac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（一）擅自修剪树木或者围圈、攀折、刻损树木，在树木上悬挂标牌、张贴广告、晾晒物品、拴系牲畜以及从事其他依托树木安装附属设施的行为。</w:t>
      </w:r>
    </w:p>
    <w:p>
      <w:pPr>
        <w:numPr>
          <w:ilvl w:val="0"/>
          <w:numId w:val="1"/>
        </w:numPr>
        <w:autoSpaceDN w:val="0"/>
        <w:spacing w:line="576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砍柴、割草、放牧。</w:t>
      </w:r>
    </w:p>
    <w:p>
      <w:pPr>
        <w:autoSpaceDN w:val="0"/>
        <w:spacing w:line="576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（三）堆放物料、倾倒废弃物、停放车辆或者焚烧树叶、秸杆、垃圾。</w:t>
      </w:r>
    </w:p>
    <w:p>
      <w:pPr>
        <w:autoSpaceDN w:val="0"/>
        <w:spacing w:line="576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（四）盗伐、滥伐树木或者破坏乡村绿化用地、植被、设施。</w:t>
      </w:r>
    </w:p>
    <w:p>
      <w:pPr>
        <w:autoSpaceDN w:val="0"/>
        <w:spacing w:line="576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（五）取土、开垦、采石、采沙、采种、采脂等。</w:t>
      </w:r>
    </w:p>
    <w:p>
      <w:pPr>
        <w:autoSpaceDN w:val="0"/>
        <w:spacing w:line="576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 xml:space="preserve">第十九条 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任何公民都有举报毁坏乡村绿化植被、设施和绿化用地的权利。</w:t>
      </w:r>
    </w:p>
    <w:p>
      <w:pPr>
        <w:autoSpaceDN w:val="0"/>
        <w:spacing w:line="576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举报毁坏乡村绿化植被、设施和绿化用地的，经查实后，由所在地政府给予奖励。</w:t>
      </w:r>
    </w:p>
    <w:p>
      <w:pPr>
        <w:autoSpaceDN w:val="0"/>
        <w:spacing w:line="576" w:lineRule="exac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</w:t>
      </w:r>
      <w:r>
        <w:rPr>
          <w:rFonts w:hint="eastAsia" w:ascii="黑体" w:hAnsi="黑体" w:eastAsia="黑体" w:cs="黑体"/>
          <w:sz w:val="32"/>
          <w:szCs w:val="32"/>
        </w:rPr>
        <w:t xml:space="preserve"> 第二十条 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违反本办法规定的，按照有关法律、法规予以处罚。</w:t>
      </w:r>
    </w:p>
    <w:p>
      <w:pPr>
        <w:autoSpaceDN w:val="0"/>
        <w:spacing w:line="576" w:lineRule="exac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</w:t>
      </w:r>
      <w:r>
        <w:rPr>
          <w:rFonts w:hint="eastAsia" w:ascii="黑体" w:hAnsi="黑体" w:eastAsia="黑体" w:cs="黑体"/>
          <w:sz w:val="32"/>
          <w:szCs w:val="32"/>
        </w:rPr>
        <w:t xml:space="preserve"> 第二十一条</w:t>
      </w:r>
      <w:r>
        <w:rPr>
          <w:rFonts w:hint="eastAsia" w:ascii="方正黑体_GBK" w:hAnsi="方正黑体_GBK" w:eastAsia="方正黑体_GBK" w:cs="方正黑体_GBK"/>
          <w:sz w:val="32"/>
          <w:szCs w:val="32"/>
        </w:rPr>
        <w:t xml:space="preserve"> </w:t>
      </w:r>
      <w:r>
        <w:rPr>
          <w:rFonts w:hint="eastAsia" w:ascii="宋体" w:hAnsi="宋体" w:cs="宋体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当事人对行政处罚决定不服的，可以依法申请行政复议或者提起行政诉讼。逾期不申请行政复议、不提起行政诉讼、又不履行行政处罚决定的，由作出行政处罚决定的机关申请人民法院强制执行。</w:t>
      </w:r>
    </w:p>
    <w:p>
      <w:pPr>
        <w:autoSpaceDN w:val="0"/>
        <w:spacing w:line="576" w:lineRule="exac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</w:t>
      </w:r>
      <w:r>
        <w:rPr>
          <w:rFonts w:hint="eastAsia" w:ascii="黑体" w:hAnsi="黑体" w:eastAsia="黑体" w:cs="黑体"/>
          <w:sz w:val="32"/>
          <w:szCs w:val="32"/>
        </w:rPr>
        <w:t xml:space="preserve"> 第二十二条 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乡村绿化工作相关部门工作人员玩忽职守、滥用职权、徇私舞弊的，依法给予处分；</w:t>
      </w:r>
      <w:r>
        <w:rPr>
          <w:rFonts w:ascii="仿宋_GB2312" w:hAnsi="仿宋_GB2312" w:eastAsia="仿宋_GB2312" w:cs="仿宋_GB2312"/>
          <w:sz w:val="32"/>
          <w:szCs w:val="32"/>
          <w:lang w:val="en"/>
        </w:rPr>
        <w:t>涉嫌犯罪的，移交司法机关依法处理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>
      <w:pPr>
        <w:autoSpaceDN w:val="0"/>
        <w:spacing w:line="576" w:lineRule="exact"/>
        <w:rPr>
          <w:rFonts w:hint="eastAsia" w:ascii="仿宋_GB2312" w:hAnsi="仿宋_GB2312" w:eastAsia="仿宋_GB2312" w:cs="仿宋_GB2312"/>
          <w:color w:val="333333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</w:t>
      </w:r>
      <w:r>
        <w:rPr>
          <w:rFonts w:hint="eastAsia" w:ascii="黑体" w:hAnsi="黑体" w:eastAsia="黑体" w:cs="黑体"/>
          <w:sz w:val="32"/>
          <w:szCs w:val="32"/>
        </w:rPr>
        <w:t xml:space="preserve">第二十三条 </w:t>
      </w:r>
      <w:r>
        <w:rPr>
          <w:rFonts w:hint="eastAsia" w:ascii="宋体" w:hAnsi="宋体" w:cs="宋体"/>
          <w:spacing w:val="8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8"/>
          <w:sz w:val="32"/>
          <w:szCs w:val="32"/>
        </w:rPr>
        <w:t>本办法自</w:t>
      </w:r>
      <w:r>
        <w:rPr>
          <w:rFonts w:hint="eastAsia" w:ascii="仿宋_GB2312" w:hAnsi="仿宋_GB2312" w:eastAsia="仿宋_GB2312" w:cs="仿宋_GB2312"/>
          <w:spacing w:val="4"/>
          <w:sz w:val="32"/>
          <w:szCs w:val="32"/>
        </w:rPr>
        <w:t>2010 年5月20日</w:t>
      </w:r>
      <w:r>
        <w:rPr>
          <w:rFonts w:hint="eastAsia" w:ascii="仿宋_GB2312" w:hAnsi="仿宋_GB2312" w:eastAsia="仿宋_GB2312" w:cs="仿宋_GB2312"/>
          <w:spacing w:val="8"/>
          <w:sz w:val="32"/>
          <w:szCs w:val="32"/>
        </w:rPr>
        <w:t>起施行。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公文小标宋">
    <w:altName w:val="宋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瀹嬩綋">
    <w:altName w:val="hakuyoxingshu7000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hakuyoxingshu7000">
    <w:panose1 w:val="02000600000000000000"/>
    <w:charset w:val="86"/>
    <w:family w:val="auto"/>
    <w:pitch w:val="default"/>
    <w:sig w:usb0="FFFFFFFF" w:usb1="E9FFFFFF" w:usb2="0000003F" w:usb3="00000000" w:csb0="603F00FF" w:csb1="F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56D1F61"/>
    <w:multiLevelType w:val="singleLevel"/>
    <w:tmpl w:val="556D1F61"/>
    <w:lvl w:ilvl="0" w:tentative="0">
      <w:start w:val="2"/>
      <w:numFmt w:val="chineseCounting"/>
      <w:suff w:val="nothing"/>
      <w:lvlText w:val="（%1）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QyODZhYWZmMzY4ZDQ2NGNjMzU4YWM0MDU5YmUwNGYifQ=="/>
  </w:docVars>
  <w:rsids>
    <w:rsidRoot w:val="535964BE"/>
    <w:rsid w:val="535964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qFormat/>
    <w:uiPriority w:val="0"/>
    <w:pPr>
      <w:widowControl w:val="0"/>
      <w:autoSpaceDE w:val="0"/>
      <w:autoSpaceDN w:val="0"/>
      <w:adjustRightInd w:val="0"/>
    </w:pPr>
    <w:rPr>
      <w:rFonts w:ascii="Times New Roman" w:hAnsi="Times New Roman" w:eastAsia="宋体" w:cs="Times New Roman"/>
      <w:color w:val="000000"/>
      <w:sz w:val="24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2023-12-15T02:11:00Z</dcterms:created>
  <dc:creator>Administrator</dc:creator>
  <cp:lastModifiedBy>Administrator</cp:lastModifiedBy>
  <dcterms:modified xsi:type="dcterms:W3CDTF">2023-12-15T02:11:26Z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4C91AAF075F2438D8AD836B44DF94E7A_11</vt:lpwstr>
  </property>
</Properties>
</file>