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D3" w:rsidRPr="005712DD" w:rsidRDefault="001016D3" w:rsidP="001016D3">
      <w:pPr>
        <w:rPr>
          <w:rFonts w:ascii="仿宋" w:eastAsia="仿宋" w:hAnsi="仿宋"/>
          <w:sz w:val="32"/>
          <w:szCs w:val="32"/>
        </w:rPr>
      </w:pPr>
    </w:p>
    <w:p w:rsidR="001016D3" w:rsidRPr="00B532D9" w:rsidRDefault="001016D3" w:rsidP="001016D3">
      <w:pPr>
        <w:jc w:val="center"/>
        <w:rPr>
          <w:rFonts w:asciiTheme="minorEastAsia" w:hAnsiTheme="minorEastAsia" w:hint="eastAsia"/>
          <w:b/>
          <w:sz w:val="44"/>
          <w:szCs w:val="44"/>
        </w:rPr>
      </w:pPr>
      <w:r w:rsidRPr="00B532D9">
        <w:rPr>
          <w:rFonts w:asciiTheme="minorEastAsia" w:hAnsiTheme="minorEastAsia" w:hint="eastAsia"/>
          <w:b/>
          <w:sz w:val="44"/>
          <w:szCs w:val="44"/>
        </w:rPr>
        <w:t>国家医疗保障局关于完善“互联网＋”医疗服务价格和医保支付政策的指导意见</w:t>
      </w:r>
    </w:p>
    <w:p w:rsidR="001016D3" w:rsidRPr="0061124A" w:rsidRDefault="001016D3" w:rsidP="001016D3">
      <w:pPr>
        <w:rPr>
          <w:rFonts w:ascii="仿宋" w:eastAsia="仿宋" w:hAnsi="仿宋"/>
          <w:sz w:val="32"/>
          <w:szCs w:val="32"/>
        </w:rPr>
      </w:pPr>
    </w:p>
    <w:p w:rsidR="001016D3" w:rsidRPr="005712DD" w:rsidRDefault="001016D3" w:rsidP="001016D3">
      <w:pPr>
        <w:rPr>
          <w:rFonts w:ascii="黑体" w:eastAsia="黑体" w:hAnsi="黑体"/>
          <w:sz w:val="32"/>
          <w:szCs w:val="32"/>
        </w:rPr>
      </w:pPr>
      <w:r w:rsidRPr="005712DD">
        <w:rPr>
          <w:rFonts w:ascii="黑体" w:eastAsia="黑体" w:hAnsi="黑体" w:hint="eastAsia"/>
          <w:sz w:val="32"/>
          <w:szCs w:val="32"/>
        </w:rPr>
        <w:t xml:space="preserve">　　一、总体要求</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（一）指导思想</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以习近平新时代中国特色社会主义思想为指导，以人民健康为中心，适应“互联网＋医疗健康”发展，合理确定并动态调整价格、医保支付政策，支持“互联网＋”在实现优质医疗资源跨区域流动、促进医疗服务降本增效和公平可及、改善患者就医体验、重构医疗市场竞争关系等方面发挥积极作用。</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（二）基本原则</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一是深化“放管服”。坚持市场形成、政府调节、社会共治相结合，建立开放灵活、多方参与的价格形成机制，激发医疗市场活力与引导提供适宜服务并重。</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二是分类管理。适应“互联网＋”的运行发展规律，针对不同的服务主体、对象和内容，制定有操作性的价格和支付政策。</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三是鼓励创新。对于依托“互联网＋”显著改善成本效率，以及更好满足多层次医疗需求的新技术、新模式，给予更宽松的发展空间。</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lastRenderedPageBreak/>
        <w:t xml:space="preserve">　　四是协调发展。线上、线下医疗服务实行公平的价格和支付政策，促进线上、线下协调发展。</w:t>
      </w:r>
    </w:p>
    <w:p w:rsidR="001016D3" w:rsidRPr="005712DD" w:rsidRDefault="001016D3" w:rsidP="001016D3">
      <w:pPr>
        <w:rPr>
          <w:rFonts w:ascii="楷体" w:eastAsia="楷体" w:hAnsi="楷体" w:hint="eastAsia"/>
          <w:sz w:val="32"/>
          <w:szCs w:val="32"/>
        </w:rPr>
      </w:pPr>
      <w:r w:rsidRPr="005712DD">
        <w:rPr>
          <w:rFonts w:ascii="楷体" w:eastAsia="楷体" w:hAnsi="楷体" w:hint="eastAsia"/>
          <w:sz w:val="32"/>
          <w:szCs w:val="32"/>
        </w:rPr>
        <w:t xml:space="preserve">　　（三）主要思路</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互联网＋”医疗服务是各级各类医疗机构，在依法合规的前提下，将线下已有医疗服务通过线上开展、延伸。“互联网＋”医疗服务价格，纳入现行医疗服务价格的政策体系统一管理。符合条件的“互联网＋”医疗服务，按照线上线下公平的原则配套医保支付政策，并根据服务特点完善协议管理、结算流程和有关指标。积极适应“互联网＋”等新业态发展，提升医疗服务价格监测监管信息化、智能化水平，引导重构医疗市场竞争关系，探索新技术条件下开放多元的医疗服务价格新机制。</w:t>
      </w:r>
    </w:p>
    <w:p w:rsidR="001016D3" w:rsidRPr="005712DD" w:rsidRDefault="001016D3" w:rsidP="001016D3">
      <w:pPr>
        <w:rPr>
          <w:rFonts w:ascii="黑体" w:eastAsia="黑体" w:hAnsi="黑体"/>
          <w:b/>
          <w:sz w:val="32"/>
          <w:szCs w:val="32"/>
        </w:rPr>
      </w:pPr>
      <w:r w:rsidRPr="005712DD">
        <w:rPr>
          <w:rFonts w:ascii="黑体" w:eastAsia="黑体" w:hAnsi="黑体" w:hint="eastAsia"/>
          <w:sz w:val="32"/>
          <w:szCs w:val="32"/>
        </w:rPr>
        <w:t xml:space="preserve">　　</w:t>
      </w:r>
      <w:r w:rsidRPr="005712DD">
        <w:rPr>
          <w:rFonts w:ascii="黑体" w:eastAsia="黑体" w:hAnsi="黑体" w:hint="eastAsia"/>
          <w:b/>
          <w:sz w:val="32"/>
          <w:szCs w:val="32"/>
        </w:rPr>
        <w:t>二、完善“互联网＋”医疗服务价格项目管理</w:t>
      </w:r>
    </w:p>
    <w:p w:rsidR="001016D3" w:rsidRPr="005712DD" w:rsidRDefault="001016D3" w:rsidP="001016D3">
      <w:pPr>
        <w:rPr>
          <w:rFonts w:ascii="楷体" w:eastAsia="楷体" w:hAnsi="楷体"/>
          <w:sz w:val="32"/>
          <w:szCs w:val="32"/>
        </w:rPr>
      </w:pPr>
      <w:r w:rsidRPr="005712DD">
        <w:rPr>
          <w:rFonts w:ascii="楷体" w:eastAsia="楷体" w:hAnsi="楷体" w:hint="eastAsia"/>
          <w:sz w:val="32"/>
          <w:szCs w:val="32"/>
        </w:rPr>
        <w:t xml:space="preserve">　　（一）项目政策按医疗机构经营性质分类管理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非营利性医疗机构依法合规开展的“互联网＋”医疗服务，医疗保障部门主要按项目管理，未经批准的医疗服务价格项目不得向患者收费。营利性医疗机构提供依法合规开展的“互联网＋”医疗服务，可自行设立医疗服务价格项目。互联网医院按其登记注册的所有制形式和经营性质适用相应的价格项目政策。</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（二）项目准入以省为主实行分级管理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医疗服务价格项目实行以省为主，国家、省和市三级管</w:t>
      </w:r>
      <w:r w:rsidRPr="005712DD">
        <w:rPr>
          <w:rFonts w:ascii="仿宋" w:eastAsia="仿宋" w:hAnsi="仿宋" w:hint="eastAsia"/>
          <w:sz w:val="32"/>
          <w:szCs w:val="32"/>
        </w:rPr>
        <w:lastRenderedPageBreak/>
        <w:t>理。国家医疗保障局负责规范立项原则、项目名称、服务内涵、计价单元、计价说明、编码规则等，指导各省级医疗保障部门做好医疗服务价格项目工作。各省级医疗保障部门负责根据医疗技术发展和本地区实际，设立适用本地区的医疗服务价格项目。医疗机构将已有线下项目通过线上开展，申请立项收费的，由地市级医疗保障部门受理，符合准入条件的，提交省级医疗保障部门集中审核决策。</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（三）明确项目准入应符合的基本条件</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设立“互联网＋”医疗服务价格项目，应同时符合以下基本条件：一是应属于卫生行业主管部门准许以“互联网＋”方式开展、临床路径清晰、技术规范明确的服务；二是应面向患者提供直接服务；三是服务过程应以互联网等媒介远程完成；四是服务应可以实现线下相同项目的功能；五是服务应对诊断、治疗疾病具有实质性效果。不得以变换表述方式、拆分服务内涵、增加非医疗步骤等方式或名义增设项目。</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（四）明确不作为医疗服务价格项目的情形</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仅发生于医疗机构与医疗机构之间、医疗机构与其他机构之间，不直接面向患者的服务；医疗机构向患者提供不属于诊疗活动的服务；以及非医务人员提供的服务，不作为医疗服务价格项目，包括但不限于远程手术指导、远程查房、医学咨询、教育培训、科研随访、数据处理、医学鉴定、健康咨询、健康管理、便民服务等。</w:t>
      </w:r>
    </w:p>
    <w:p w:rsidR="001016D3" w:rsidRPr="005712DD" w:rsidRDefault="001016D3" w:rsidP="001016D3">
      <w:pPr>
        <w:rPr>
          <w:rFonts w:ascii="黑体" w:eastAsia="黑体" w:hAnsi="黑体"/>
          <w:b/>
          <w:sz w:val="32"/>
          <w:szCs w:val="32"/>
        </w:rPr>
      </w:pPr>
      <w:r w:rsidRPr="005712DD">
        <w:rPr>
          <w:rFonts w:ascii="仿宋" w:eastAsia="仿宋" w:hAnsi="仿宋" w:hint="eastAsia"/>
          <w:b/>
          <w:sz w:val="32"/>
          <w:szCs w:val="32"/>
        </w:rPr>
        <w:lastRenderedPageBreak/>
        <w:t xml:space="preserve">　　</w:t>
      </w:r>
      <w:r w:rsidRPr="005712DD">
        <w:rPr>
          <w:rFonts w:ascii="黑体" w:eastAsia="黑体" w:hAnsi="黑体" w:hint="eastAsia"/>
          <w:b/>
          <w:sz w:val="32"/>
          <w:szCs w:val="32"/>
        </w:rPr>
        <w:t>三、健全“互联网＋”医疗服务价格形成机制</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（一）价格政策按公立非公立实行分类管理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公立医疗机构提供“互联网＋”医疗服务，主要实行政府调节，由医疗保障部门对项目收费标准的上限给予指导，公立医疗机构按不超过医疗保障部门所公布价格的标准收取服务费用；满足个性化、高层次需求为主的“互联网＋”医疗服务，以及向国外、境外提供的“互联网＋”医疗服务，落实特需医疗规模控制的要求和市场调节价政策。价格实行市场调节的，公立医疗机构综合考虑服务成本、患者需求等因素，自主确定收费标准和浮动范围并书面告知当地医疗保障部门。</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非公立医疗机构提供“互联网＋”医疗服务，价格实行市场调节。</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（二）收费方式应体现跨区域服务的特征</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公立医疗机构提供“互联网＋”医疗服务，价格包括了一个项目的完整费用，并按照属地化原则，由公立医疗机构或其所在地区的省级医疗保障部门制定。医疗保障部门和医疗机构不得因服务对象、服务区域不同制定不公平的价格标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患者接受“互联网＋”医疗服务，按服务受邀方执行的项目价格付费。“互联网＋”医疗服务涉及邀请方、受邀方及技术支持方等多个主体或涉及同一主体不同部门的，各方</w:t>
      </w:r>
      <w:r w:rsidRPr="005712DD">
        <w:rPr>
          <w:rFonts w:ascii="仿宋" w:eastAsia="仿宋" w:hAnsi="仿宋" w:hint="eastAsia"/>
          <w:sz w:val="32"/>
          <w:szCs w:val="32"/>
        </w:rPr>
        <w:lastRenderedPageBreak/>
        <w:t>自行协商确定分配关系。</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（三）医保部门制定调整价格实行省级管理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省级医疗保障部门负责制定调整公立医疗机构提供的“互联网＋”医疗服务价格。新开展的“互联网＋”医疗服务，价格可由省级医疗保障部门制定或与医疗机构协议确定试行价格。医疗机构申请立项时，应按省级医疗保障部门的规定，同步提交价格建议、成本测算结果、经济性评估报告、与线下同类项目的比较分析等资料。试行期满（一般不超过两年），在评估服务效果和成本收入等情况的基础上，进一步明确价格政策。</w:t>
      </w:r>
    </w:p>
    <w:p w:rsidR="001016D3" w:rsidRPr="005712DD" w:rsidRDefault="001016D3" w:rsidP="001016D3">
      <w:pPr>
        <w:rPr>
          <w:rFonts w:ascii="楷体" w:eastAsia="楷体" w:hAnsi="楷体"/>
          <w:sz w:val="32"/>
          <w:szCs w:val="32"/>
        </w:rPr>
      </w:pPr>
      <w:r w:rsidRPr="005712DD">
        <w:rPr>
          <w:rFonts w:ascii="楷体" w:eastAsia="楷体" w:hAnsi="楷体" w:hint="eastAsia"/>
          <w:sz w:val="32"/>
          <w:szCs w:val="32"/>
        </w:rPr>
        <w:t xml:space="preserve">　　（四）制定调整价格应保持线上线下合理比价</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省级医疗保障部门制定调整“互联网＋”医疗服务价格，应保持线上线下同类服务合理比价：一是线上线下服务价格应与服务效用相匹配，保持合理的比价关系和价格水平，体现激励服务与防止滥用并重；二是线上线下服务价格应与经济性改善程度相匹配，使线上服务可以比传统就医方式更有利于节约患者的整体费用；三是线上线下服务价格应与必要成本的差异相匹配，体现医疗服务的共性成本和“互联网＋”的额外成本。</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（五）针对各类服务特点细化价格政策</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一是公立医疗机构提供检查检验服务，委托第三方出具结论的，收费按委托方线下检查检验服务项目的价格执行，</w:t>
      </w:r>
      <w:r w:rsidRPr="005712DD">
        <w:rPr>
          <w:rFonts w:ascii="仿宋" w:eastAsia="仿宋" w:hAnsi="仿宋" w:hint="eastAsia"/>
          <w:sz w:val="32"/>
          <w:szCs w:val="32"/>
        </w:rPr>
        <w:lastRenderedPageBreak/>
        <w:t>不按远程诊断单独立项，不重复收费；二是公立医疗机构开展互联网复诊，由不同级别医务人员提供服务，均按普通门诊诊察类项目价格收费；三是公立医疗机构依托“互联网＋”提供家庭医生服务，按照服务包签约内容和标准提供服务和结算费用，不因服务方式变化另收或加收费用。</w:t>
      </w:r>
    </w:p>
    <w:p w:rsidR="001016D3" w:rsidRPr="005712DD" w:rsidRDefault="001016D3" w:rsidP="001016D3">
      <w:pPr>
        <w:rPr>
          <w:rFonts w:ascii="楷体" w:eastAsia="楷体" w:hAnsi="楷体"/>
          <w:sz w:val="32"/>
          <w:szCs w:val="32"/>
        </w:rPr>
      </w:pPr>
      <w:r w:rsidRPr="005712DD">
        <w:rPr>
          <w:rFonts w:ascii="楷体" w:eastAsia="楷体" w:hAnsi="楷体" w:hint="eastAsia"/>
          <w:sz w:val="32"/>
          <w:szCs w:val="32"/>
        </w:rPr>
        <w:t xml:space="preserve">　　（六）充分保障患者合理合法的价格权益</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各类主体提供“互联网＋”医疗服务，收费应以知情同意、合法合规为前提，遵循公平、合法和诚实信用的原则，在政策允许的范围内，合理制定和调整价格，并以明确清晰的方式公示。各地区医疗保障部门要加强基金监管力度，对于医疗机构存在强制服务、分解服务、以不公平价格提供服务、虚报价格等失信行为的，采取约谈告诫、要求整改等方式予以约束，涉嫌违法违规的，应及时将相关问题线索移交检查执法部门。</w:t>
      </w:r>
    </w:p>
    <w:p w:rsidR="001016D3" w:rsidRPr="005712DD" w:rsidRDefault="001016D3" w:rsidP="001016D3">
      <w:pPr>
        <w:rPr>
          <w:rFonts w:ascii="黑体" w:eastAsia="黑体" w:hAnsi="黑体"/>
          <w:sz w:val="32"/>
          <w:szCs w:val="32"/>
        </w:rPr>
      </w:pPr>
      <w:r w:rsidRPr="005712DD">
        <w:rPr>
          <w:rFonts w:ascii="黑体" w:eastAsia="黑体" w:hAnsi="黑体" w:hint="eastAsia"/>
          <w:sz w:val="32"/>
          <w:szCs w:val="32"/>
        </w:rPr>
        <w:t xml:space="preserve">　　四、明确“互联网＋”医疗服务的医保支付政策</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（一）确定医保支付范围</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定点医疗机构提供的“互联网＋”医疗服务，与医保支付范围内的线下医疗服务内容相同，且执行相应公立医疗机构收费价格的，经相应备案程序后纳入医保支付范围并按规定支付。属于全新内容的“互联网＋”并执行政府调节价格的基本医疗服务，由各省级医疗保障部门按照规定，综合考虑临床价值、价格水平、医保支付能力等因素，确定是否纳</w:t>
      </w:r>
      <w:r w:rsidRPr="005712DD">
        <w:rPr>
          <w:rFonts w:ascii="仿宋" w:eastAsia="仿宋" w:hAnsi="仿宋" w:hint="eastAsia"/>
          <w:sz w:val="32"/>
          <w:szCs w:val="32"/>
        </w:rPr>
        <w:lastRenderedPageBreak/>
        <w:t>入医保支付范围。</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（二）完善医保协议管理</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各级医疗保障部门要根据“互联网＋”医疗服务的特点，合理确定总额控制指标，完善定点医疗机构服务协议，调整医保信息系统，优化结算流程，同时加强医疗服务监管，支持定点医疗机构依托“互联网＋”提供规范、便捷、优质、高效的医疗服务。对于定点医疗机构存在价格失信、欺诈骗保等行为的，纳入协议违约范围，按规定进行处理。</w:t>
      </w:r>
    </w:p>
    <w:p w:rsidR="001016D3" w:rsidRPr="005712DD" w:rsidRDefault="001016D3" w:rsidP="001016D3">
      <w:pPr>
        <w:rPr>
          <w:rFonts w:ascii="黑体" w:eastAsia="黑体" w:hAnsi="黑体"/>
          <w:sz w:val="32"/>
          <w:szCs w:val="32"/>
        </w:rPr>
      </w:pPr>
      <w:r w:rsidRPr="005712DD">
        <w:rPr>
          <w:rFonts w:ascii="仿宋" w:eastAsia="仿宋" w:hAnsi="仿宋" w:hint="eastAsia"/>
          <w:sz w:val="32"/>
          <w:szCs w:val="32"/>
        </w:rPr>
        <w:t xml:space="preserve">　</w:t>
      </w:r>
      <w:r w:rsidRPr="005712DD">
        <w:rPr>
          <w:rFonts w:ascii="黑体" w:eastAsia="黑体" w:hAnsi="黑体" w:hint="eastAsia"/>
          <w:sz w:val="32"/>
          <w:szCs w:val="32"/>
        </w:rPr>
        <w:t xml:space="preserve">　</w:t>
      </w:r>
      <w:r>
        <w:rPr>
          <w:rFonts w:ascii="黑体" w:eastAsia="黑体" w:hAnsi="黑体" w:hint="eastAsia"/>
          <w:sz w:val="32"/>
          <w:szCs w:val="32"/>
        </w:rPr>
        <w:t xml:space="preserve"> </w:t>
      </w:r>
      <w:r w:rsidRPr="005712DD">
        <w:rPr>
          <w:rFonts w:ascii="黑体" w:eastAsia="黑体" w:hAnsi="黑体" w:hint="eastAsia"/>
          <w:sz w:val="32"/>
          <w:szCs w:val="32"/>
        </w:rPr>
        <w:t>五、强化组织实施</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（一）抓好贯彻落实和疏导矛盾</w:t>
      </w:r>
    </w:p>
    <w:p w:rsidR="001016D3" w:rsidRPr="005712DD" w:rsidRDefault="001016D3" w:rsidP="001016D3">
      <w:pPr>
        <w:rPr>
          <w:rFonts w:ascii="仿宋" w:eastAsia="仿宋" w:hAnsi="仿宋"/>
          <w:sz w:val="32"/>
          <w:szCs w:val="32"/>
        </w:rPr>
      </w:pPr>
      <w:r w:rsidRPr="005712DD">
        <w:rPr>
          <w:rFonts w:ascii="仿宋" w:eastAsia="仿宋" w:hAnsi="仿宋" w:hint="eastAsia"/>
          <w:sz w:val="32"/>
          <w:szCs w:val="32"/>
        </w:rPr>
        <w:t xml:space="preserve">　　各省（区、市）医疗保障部门要根据本意见要求，及时梳理调整“互联网＋”医疗服务价格和医保支付政策，规范价格项目，疏导积累的价格矛盾，做好价格和支付政策有效衔接。涉及卫生健康和市场监管等部门职责的，应充分听取意见建议，做好沟通配合工作，及时移交问题线索。</w:t>
      </w:r>
    </w:p>
    <w:p w:rsidR="001016D3" w:rsidRPr="005712DD" w:rsidRDefault="001016D3" w:rsidP="001016D3">
      <w:pPr>
        <w:rPr>
          <w:rFonts w:ascii="楷体" w:eastAsia="楷体" w:hAnsi="楷体"/>
          <w:sz w:val="32"/>
          <w:szCs w:val="32"/>
        </w:rPr>
      </w:pPr>
      <w:r w:rsidRPr="005712DD">
        <w:rPr>
          <w:rFonts w:ascii="仿宋" w:eastAsia="仿宋" w:hAnsi="仿宋" w:hint="eastAsia"/>
          <w:sz w:val="32"/>
          <w:szCs w:val="32"/>
        </w:rPr>
        <w:t xml:space="preserve">　</w:t>
      </w:r>
      <w:r w:rsidRPr="005712DD">
        <w:rPr>
          <w:rFonts w:ascii="楷体" w:eastAsia="楷体" w:hAnsi="楷体" w:hint="eastAsia"/>
          <w:sz w:val="32"/>
          <w:szCs w:val="32"/>
        </w:rPr>
        <w:t xml:space="preserve">　（二）加强价格监测和跟踪评估</w:t>
      </w:r>
    </w:p>
    <w:p w:rsidR="001016D3" w:rsidRPr="005712DD" w:rsidRDefault="001016D3" w:rsidP="001016D3">
      <w:pPr>
        <w:rPr>
          <w:rFonts w:ascii="仿宋" w:eastAsia="仿宋" w:hAnsi="仿宋" w:hint="eastAsia"/>
          <w:sz w:val="32"/>
          <w:szCs w:val="32"/>
        </w:rPr>
      </w:pPr>
      <w:r w:rsidRPr="005712DD">
        <w:rPr>
          <w:rFonts w:ascii="仿宋" w:eastAsia="仿宋" w:hAnsi="仿宋" w:hint="eastAsia"/>
          <w:sz w:val="32"/>
          <w:szCs w:val="32"/>
        </w:rPr>
        <w:t xml:space="preserve">　　各省（区、市）医疗保障部门要以公立医疗机构为重点，加强医疗服务价格日常监测监管，及时报告工作中出现的新情况、新问题。对线下项目服务形式改变后，费用出现较大波动的情况，要及时开展调查，动态调整或指导公立医疗机构及时调整价格。</w:t>
      </w:r>
    </w:p>
    <w:p w:rsidR="001016D3" w:rsidRPr="005712DD" w:rsidRDefault="001016D3" w:rsidP="001016D3">
      <w:pPr>
        <w:rPr>
          <w:rFonts w:ascii="楷体" w:eastAsia="楷体" w:hAnsi="楷体"/>
          <w:sz w:val="32"/>
          <w:szCs w:val="32"/>
        </w:rPr>
      </w:pPr>
      <w:r w:rsidRPr="005712DD">
        <w:rPr>
          <w:rFonts w:ascii="楷体" w:eastAsia="楷体" w:hAnsi="楷体" w:hint="eastAsia"/>
          <w:sz w:val="32"/>
          <w:szCs w:val="32"/>
        </w:rPr>
        <w:t xml:space="preserve">　</w:t>
      </w:r>
      <w:r>
        <w:rPr>
          <w:rFonts w:ascii="楷体" w:eastAsia="楷体" w:hAnsi="楷体" w:hint="eastAsia"/>
          <w:sz w:val="32"/>
          <w:szCs w:val="32"/>
        </w:rPr>
        <w:t xml:space="preserve"> </w:t>
      </w:r>
      <w:r w:rsidRPr="005712DD">
        <w:rPr>
          <w:rFonts w:ascii="楷体" w:eastAsia="楷体" w:hAnsi="楷体" w:hint="eastAsia"/>
          <w:sz w:val="32"/>
          <w:szCs w:val="32"/>
        </w:rPr>
        <w:t>（三）做好政策解读和舆论引导</w:t>
      </w:r>
    </w:p>
    <w:p w:rsidR="001016D3" w:rsidRPr="005712DD" w:rsidRDefault="001016D3" w:rsidP="001016D3">
      <w:pPr>
        <w:rPr>
          <w:rFonts w:ascii="仿宋" w:eastAsia="仿宋" w:hAnsi="仿宋" w:hint="eastAsia"/>
          <w:sz w:val="32"/>
          <w:szCs w:val="32"/>
        </w:rPr>
      </w:pPr>
      <w:r w:rsidRPr="005712DD">
        <w:rPr>
          <w:rFonts w:ascii="仿宋" w:eastAsia="仿宋" w:hAnsi="仿宋" w:hint="eastAsia"/>
          <w:sz w:val="32"/>
          <w:szCs w:val="32"/>
        </w:rPr>
        <w:lastRenderedPageBreak/>
        <w:t xml:space="preserve">　　结合“互联网＋”医疗服务的新规律、新特点，及时准确解读价格和支付政策，合理引导社会预期，积极回应社会关切，争取社会各界的理解和支持。凝聚各方共识，引导医务人员积极参与，为改革创造良好环境，确保改革顺利推进。</w:t>
      </w:r>
    </w:p>
    <w:p w:rsidR="001016D3" w:rsidRPr="005712DD" w:rsidRDefault="001016D3" w:rsidP="001016D3">
      <w:pPr>
        <w:rPr>
          <w:rFonts w:ascii="仿宋" w:eastAsia="仿宋" w:hAnsi="仿宋"/>
          <w:sz w:val="32"/>
          <w:szCs w:val="32"/>
        </w:rPr>
      </w:pPr>
    </w:p>
    <w:p w:rsidR="009A5AEB" w:rsidRPr="001016D3" w:rsidRDefault="009A5AEB"/>
    <w:sectPr w:rsidR="009A5AEB" w:rsidRPr="001016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AEB" w:rsidRPr="00577254" w:rsidRDefault="009A5AEB" w:rsidP="001016D3">
      <w:pPr>
        <w:rPr>
          <w:rFonts w:ascii="宋体" w:eastAsia="黑体" w:hAnsi="宋体"/>
          <w:kern w:val="0"/>
          <w:sz w:val="20"/>
          <w:szCs w:val="20"/>
          <w:lang w:val="en-US" w:eastAsia="en-US"/>
        </w:rPr>
      </w:pPr>
      <w:r>
        <w:separator/>
      </w:r>
    </w:p>
  </w:endnote>
  <w:endnote w:type="continuationSeparator" w:id="1">
    <w:p w:rsidR="009A5AEB" w:rsidRPr="00577254" w:rsidRDefault="009A5AEB" w:rsidP="001016D3">
      <w:pPr>
        <w:rPr>
          <w:rFonts w:ascii="宋体" w:eastAsia="黑体" w:hAnsi="宋体"/>
          <w:kern w:val="0"/>
          <w:sz w:val="20"/>
          <w:szCs w:val="20"/>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AEB" w:rsidRPr="00577254" w:rsidRDefault="009A5AEB" w:rsidP="001016D3">
      <w:pPr>
        <w:rPr>
          <w:rFonts w:ascii="宋体" w:eastAsia="黑体" w:hAnsi="宋体"/>
          <w:kern w:val="0"/>
          <w:sz w:val="20"/>
          <w:szCs w:val="20"/>
          <w:lang w:val="en-US" w:eastAsia="en-US"/>
        </w:rPr>
      </w:pPr>
      <w:r>
        <w:separator/>
      </w:r>
    </w:p>
  </w:footnote>
  <w:footnote w:type="continuationSeparator" w:id="1">
    <w:p w:rsidR="009A5AEB" w:rsidRPr="00577254" w:rsidRDefault="009A5AEB" w:rsidP="001016D3">
      <w:pPr>
        <w:rPr>
          <w:rFonts w:ascii="宋体" w:eastAsia="黑体" w:hAnsi="宋体"/>
          <w:kern w:val="0"/>
          <w:sz w:val="20"/>
          <w:szCs w:val="20"/>
          <w:lang w:val="en-US"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16D3"/>
    <w:rsid w:val="001016D3"/>
    <w:rsid w:val="009A5AEB"/>
    <w:rsid w:val="00B532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1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16D3"/>
    <w:rPr>
      <w:sz w:val="18"/>
      <w:szCs w:val="18"/>
    </w:rPr>
  </w:style>
  <w:style w:type="paragraph" w:styleId="a4">
    <w:name w:val="footer"/>
    <w:basedOn w:val="a"/>
    <w:link w:val="Char0"/>
    <w:uiPriority w:val="99"/>
    <w:semiHidden/>
    <w:unhideWhenUsed/>
    <w:rsid w:val="00101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16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533</Words>
  <Characters>3043</Characters>
  <Application>Microsoft Office Word</Application>
  <DocSecurity>0</DocSecurity>
  <Lines>25</Lines>
  <Paragraphs>7</Paragraphs>
  <ScaleCrop>false</ScaleCrop>
  <Company>Microsoft</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2019-12-31T08:27:00Z</dcterms:created>
  <dcterms:modified xsi:type="dcterms:W3CDTF">2019-12-31T08:27:00Z</dcterms:modified>
</cp:coreProperties>
</file>