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highlight w:val="none"/>
          <w:lang w:val="en-US" w:eastAsia="zh-CN"/>
        </w:rPr>
      </w:pPr>
      <w:bookmarkStart w:id="155" w:name="_GoBack"/>
      <w:bookmarkEnd w:id="155"/>
    </w:p>
    <w:p>
      <w:pPr>
        <w:ind w:left="0" w:leftChars="0" w:firstLine="0" w:firstLineChars="0"/>
        <w:jc w:val="center"/>
        <w:rPr>
          <w:rFonts w:hint="eastAsia" w:cs="仿宋"/>
          <w:b/>
          <w:bCs/>
          <w:color w:val="auto"/>
          <w:sz w:val="44"/>
          <w:szCs w:val="44"/>
          <w:highlight w:val="none"/>
          <w:lang w:val="en-US" w:eastAsia="zh-CN"/>
        </w:rPr>
      </w:pPr>
      <w:r>
        <w:rPr>
          <w:rFonts w:hint="eastAsia" w:cs="仿宋"/>
          <w:b/>
          <w:bCs/>
          <w:color w:val="auto"/>
          <w:sz w:val="44"/>
          <w:szCs w:val="44"/>
          <w:highlight w:val="none"/>
          <w:lang w:val="en-US" w:eastAsia="zh-CN"/>
        </w:rPr>
        <w:t>吉林市中小企业数字化转型试点城市评测及验收服务项目</w:t>
      </w:r>
    </w:p>
    <w:p>
      <w:pPr>
        <w:ind w:left="0" w:leftChars="0" w:firstLine="0" w:firstLineChars="0"/>
        <w:jc w:val="center"/>
        <w:rPr>
          <w:rFonts w:hint="eastAsia" w:cs="仿宋"/>
          <w:color w:val="auto"/>
          <w:sz w:val="44"/>
          <w:szCs w:val="48"/>
          <w:highlight w:val="none"/>
          <w:lang w:val="en-US" w:eastAsia="zh-CN"/>
        </w:rPr>
      </w:pPr>
    </w:p>
    <w:p>
      <w:pPr>
        <w:ind w:left="0" w:leftChars="0" w:firstLine="0" w:firstLineChars="0"/>
        <w:jc w:val="center"/>
        <w:rPr>
          <w:rFonts w:hint="eastAsia" w:cs="仿宋"/>
          <w:color w:val="auto"/>
          <w:sz w:val="44"/>
          <w:szCs w:val="48"/>
          <w:highlight w:val="none"/>
          <w:lang w:val="en-US" w:eastAsia="zh-CN"/>
        </w:rPr>
      </w:pPr>
    </w:p>
    <w:p>
      <w:pPr>
        <w:ind w:left="0" w:leftChars="0" w:firstLine="0" w:firstLineChars="0"/>
        <w:jc w:val="center"/>
        <w:rPr>
          <w:rFonts w:hint="eastAsia" w:ascii="仿宋" w:hAnsi="仿宋" w:eastAsia="仿宋" w:cs="仿宋"/>
          <w:color w:val="auto"/>
          <w:sz w:val="44"/>
          <w:szCs w:val="48"/>
          <w:highlight w:val="none"/>
        </w:rPr>
      </w:pPr>
      <w:r>
        <w:rPr>
          <w:rFonts w:hint="eastAsia" w:cs="仿宋"/>
          <w:color w:val="auto"/>
          <w:sz w:val="44"/>
          <w:szCs w:val="48"/>
          <w:highlight w:val="none"/>
          <w:lang w:val="en-US" w:eastAsia="zh-CN"/>
        </w:rPr>
        <w:t>招标文件</w:t>
      </w:r>
    </w:p>
    <w:p>
      <w:pPr>
        <w:pStyle w:val="18"/>
        <w:ind w:left="0" w:leftChars="0" w:firstLine="0" w:firstLineChars="0"/>
        <w:jc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项目编号：</w:t>
      </w:r>
      <w:r>
        <w:rPr>
          <w:rFonts w:hint="eastAsia" w:ascii="仿宋" w:hAnsi="仿宋" w:cs="仿宋"/>
          <w:color w:val="auto"/>
          <w:sz w:val="32"/>
          <w:szCs w:val="32"/>
          <w:highlight w:val="none"/>
          <w:lang w:eastAsia="zh-CN"/>
        </w:rPr>
        <w:t>采购计划-[2025]-00270号-ZYCXZB0038</w:t>
      </w:r>
    </w:p>
    <w:p>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pPr>
        <w:pStyle w:val="21"/>
        <w:ind w:left="0" w:leftChars="0" w:firstLine="0" w:firstLineChars="0"/>
        <w:jc w:val="center"/>
        <w:rPr>
          <w:rFonts w:hint="eastAsia" w:ascii="仿宋" w:hAnsi="仿宋" w:eastAsia="仿宋" w:cs="仿宋"/>
          <w:color w:val="auto"/>
          <w:highlight w:val="none"/>
        </w:rPr>
      </w:pPr>
      <w:r>
        <w:rPr>
          <w:rFonts w:hint="eastAsia" w:ascii="仿宋" w:hAnsi="仿宋" w:eastAsia="仿宋" w:cs="仿宋"/>
          <w:b/>
          <w:bCs/>
          <w:iCs/>
          <w:color w:val="auto"/>
          <w:sz w:val="52"/>
          <w:szCs w:val="52"/>
          <w:highlight w:val="none"/>
        </w:rPr>
        <w:drawing>
          <wp:inline distT="0" distB="0" distL="0" distR="0">
            <wp:extent cx="2964815" cy="2879725"/>
            <wp:effectExtent l="0" t="0" r="0" b="0"/>
            <wp:docPr id="4" name="图片 4" descr="IMG_340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descr="IMG_3408"/>
                    <pic:cNvPicPr>
                      <a:picLocks noChangeAspect="true" noChangeArrowheads="true"/>
                    </pic:cNvPicPr>
                  </pic:nvPicPr>
                  <pic:blipFill>
                    <a:blip r:embed="rId11" cstate="print">
                      <a:extLst>
                        <a:ext uri="{28A0092B-C50C-407E-A947-70E740481C1C}">
                          <a14:useLocalDpi xmlns:a14="http://schemas.microsoft.com/office/drawing/2010/main" val="false"/>
                        </a:ext>
                      </a:extLst>
                    </a:blip>
                    <a:srcRect l="25980" t="26065" r="26273" b="22108"/>
                    <a:stretch>
                      <a:fillRect/>
                    </a:stretch>
                  </pic:blipFill>
                  <pic:spPr>
                    <a:xfrm>
                      <a:off x="0" y="0"/>
                      <a:ext cx="2964815" cy="2879725"/>
                    </a:xfrm>
                    <a:prstGeom prst="rect">
                      <a:avLst/>
                    </a:prstGeom>
                    <a:noFill/>
                    <a:ln>
                      <a:noFill/>
                    </a:ln>
                  </pic:spPr>
                </pic:pic>
              </a:graphicData>
            </a:graphic>
          </wp:inline>
        </w:drawing>
      </w:r>
    </w:p>
    <w:p>
      <w:pPr>
        <w:ind w:firstLine="480"/>
        <w:rPr>
          <w:rFonts w:hint="eastAsia" w:ascii="仿宋" w:hAnsi="仿宋" w:eastAsia="仿宋" w:cs="仿宋"/>
          <w:color w:val="auto"/>
          <w:highlight w:val="none"/>
        </w:rPr>
      </w:pPr>
    </w:p>
    <w:p>
      <w:pPr>
        <w:ind w:left="420" w:leftChars="0" w:firstLine="420" w:firstLineChars="0"/>
        <w:rPr>
          <w:rFonts w:hint="eastAsia" w:ascii="仿宋" w:hAnsi="仿宋" w:eastAsia="仿宋" w:cs="仿宋"/>
          <w:color w:val="auto"/>
          <w:sz w:val="28"/>
          <w:szCs w:val="32"/>
          <w:highlight w:val="none"/>
          <w:lang w:eastAsia="zh-CN"/>
        </w:rPr>
      </w:pPr>
      <w:bookmarkStart w:id="0" w:name="_Toc246996898"/>
      <w:bookmarkStart w:id="1" w:name="_Toc247085669"/>
      <w:bookmarkStart w:id="2" w:name="_Toc296602400"/>
      <w:r>
        <w:rPr>
          <w:rFonts w:hint="eastAsia" w:ascii="仿宋" w:hAnsi="仿宋" w:eastAsia="仿宋" w:cs="仿宋"/>
          <w:color w:val="auto"/>
          <w:sz w:val="28"/>
          <w:szCs w:val="32"/>
          <w:highlight w:val="none"/>
        </w:rPr>
        <w:t>招 标 人：</w:t>
      </w:r>
      <w:r>
        <w:rPr>
          <w:rFonts w:hint="eastAsia" w:cs="仿宋"/>
          <w:color w:val="auto"/>
          <w:sz w:val="28"/>
          <w:szCs w:val="32"/>
          <w:highlight w:val="none"/>
          <w:lang w:eastAsia="zh-CN"/>
        </w:rPr>
        <w:t>吉林市工业和信息化局</w:t>
      </w:r>
    </w:p>
    <w:p>
      <w:pPr>
        <w:ind w:left="420" w:leftChars="0" w:firstLine="420" w:firstLineChars="0"/>
        <w:rPr>
          <w:rFonts w:hint="eastAsia" w:ascii="仿宋" w:hAnsi="仿宋" w:eastAsia="仿宋" w:cs="仿宋"/>
          <w:color w:val="auto"/>
          <w:sz w:val="28"/>
          <w:szCs w:val="32"/>
          <w:highlight w:val="none"/>
        </w:rPr>
      </w:pPr>
      <w:r>
        <w:rPr>
          <w:rFonts w:hint="eastAsia" w:ascii="仿宋" w:hAnsi="仿宋" w:eastAsia="仿宋" w:cs="仿宋"/>
          <w:color w:val="auto"/>
          <w:sz w:val="28"/>
          <w:szCs w:val="32"/>
          <w:highlight w:val="none"/>
        </w:rPr>
        <w:t>招标代理机构：</w:t>
      </w:r>
      <w:r>
        <w:rPr>
          <w:rFonts w:hint="eastAsia" w:cs="仿宋"/>
          <w:color w:val="auto"/>
          <w:sz w:val="28"/>
          <w:szCs w:val="32"/>
          <w:highlight w:val="none"/>
          <w:lang w:val="zh-CN" w:eastAsia="zh-CN"/>
        </w:rPr>
        <w:t>中屹宬信建设集团有限公司</w:t>
      </w:r>
    </w:p>
    <w:p>
      <w:pPr>
        <w:ind w:left="420" w:leftChars="0" w:firstLine="420" w:firstLineChars="0"/>
        <w:rPr>
          <w:rFonts w:hint="eastAsia" w:ascii="仿宋" w:hAnsi="仿宋" w:eastAsia="仿宋" w:cs="仿宋"/>
          <w:color w:val="auto"/>
          <w:sz w:val="28"/>
          <w:szCs w:val="32"/>
          <w:highlight w:val="none"/>
        </w:rPr>
      </w:pPr>
      <w:r>
        <w:rPr>
          <w:rFonts w:hint="eastAsia" w:ascii="仿宋" w:hAnsi="仿宋" w:eastAsia="仿宋" w:cs="仿宋"/>
          <w:color w:val="auto"/>
          <w:sz w:val="28"/>
          <w:szCs w:val="32"/>
          <w:highlight w:val="none"/>
        </w:rPr>
        <w:t>日    期：</w:t>
      </w:r>
      <w:bookmarkStart w:id="3" w:name="EB2b6acbf80ec34a13b99020645ace3bba"/>
      <w:r>
        <w:rPr>
          <w:rFonts w:hint="eastAsia" w:ascii="仿宋" w:hAnsi="仿宋" w:eastAsia="仿宋" w:cs="仿宋"/>
          <w:color w:val="auto"/>
          <w:sz w:val="28"/>
          <w:szCs w:val="32"/>
          <w:highlight w:val="none"/>
        </w:rPr>
        <w:t>202</w:t>
      </w:r>
      <w:r>
        <w:rPr>
          <w:rFonts w:hint="eastAsia" w:cs="仿宋"/>
          <w:color w:val="auto"/>
          <w:sz w:val="28"/>
          <w:szCs w:val="32"/>
          <w:highlight w:val="none"/>
          <w:lang w:val="en-US" w:eastAsia="zh-CN"/>
        </w:rPr>
        <w:t>5</w:t>
      </w:r>
      <w:r>
        <w:rPr>
          <w:rFonts w:hint="eastAsia" w:ascii="仿宋" w:hAnsi="仿宋" w:eastAsia="仿宋" w:cs="仿宋"/>
          <w:color w:val="auto"/>
          <w:sz w:val="28"/>
          <w:szCs w:val="32"/>
          <w:highlight w:val="none"/>
        </w:rPr>
        <w:t>年</w:t>
      </w:r>
      <w:r>
        <w:rPr>
          <w:rFonts w:hint="eastAsia" w:cs="仿宋"/>
          <w:color w:val="auto"/>
          <w:sz w:val="28"/>
          <w:szCs w:val="32"/>
          <w:highlight w:val="none"/>
          <w:lang w:val="en-US" w:eastAsia="zh-CN"/>
        </w:rPr>
        <w:t>06</w:t>
      </w:r>
      <w:r>
        <w:rPr>
          <w:rFonts w:hint="eastAsia" w:ascii="仿宋" w:hAnsi="仿宋" w:eastAsia="仿宋" w:cs="仿宋"/>
          <w:color w:val="auto"/>
          <w:sz w:val="28"/>
          <w:szCs w:val="32"/>
          <w:highlight w:val="none"/>
        </w:rPr>
        <w:t>月</w:t>
      </w:r>
      <w:bookmarkEnd w:id="3"/>
    </w:p>
    <w:p>
      <w:pPr>
        <w:ind w:firstLine="480"/>
        <w:jc w:val="center"/>
        <w:rPr>
          <w:rFonts w:hint="eastAsia" w:ascii="仿宋" w:hAnsi="仿宋" w:eastAsia="仿宋" w:cs="仿宋"/>
          <w:color w:val="auto"/>
          <w:sz w:val="36"/>
          <w:szCs w:val="40"/>
          <w:highlight w:val="none"/>
        </w:rPr>
      </w:pPr>
      <w:r>
        <w:rPr>
          <w:rFonts w:hint="eastAsia" w:ascii="仿宋" w:hAnsi="仿宋" w:eastAsia="仿宋" w:cs="仿宋"/>
          <w:color w:val="auto"/>
          <w:highlight w:val="none"/>
        </w:rPr>
        <w:br w:type="page"/>
      </w:r>
      <w:r>
        <w:rPr>
          <w:rFonts w:hint="eastAsia" w:ascii="仿宋" w:hAnsi="仿宋" w:eastAsia="仿宋" w:cs="仿宋"/>
          <w:color w:val="auto"/>
          <w:sz w:val="36"/>
          <w:szCs w:val="40"/>
          <w:highlight w:val="none"/>
        </w:rPr>
        <w:t>目   录</w:t>
      </w:r>
      <w:bookmarkEnd w:id="0"/>
      <w:bookmarkEnd w:id="1"/>
      <w:bookmarkEnd w:id="2"/>
    </w:p>
    <w:p>
      <w:pPr>
        <w:pStyle w:val="21"/>
        <w:rPr>
          <w:rFonts w:hint="eastAsia" w:ascii="仿宋" w:hAnsi="仿宋" w:eastAsia="仿宋" w:cs="仿宋"/>
          <w:color w:val="auto"/>
          <w:highlight w:val="none"/>
        </w:rPr>
      </w:pPr>
    </w:p>
    <w:p>
      <w:pPr>
        <w:pStyle w:val="16"/>
        <w:tabs>
          <w:tab w:val="right" w:leader="dot" w:pos="8307"/>
        </w:tabs>
        <w:rPr>
          <w:highlight w:val="none"/>
        </w:rPr>
      </w:pPr>
      <w:bookmarkStart w:id="4" w:name="_Toc179632527"/>
      <w:bookmarkStart w:id="5" w:name="_Toc152042287"/>
      <w:bookmarkStart w:id="6" w:name="_Toc152045511"/>
      <w:bookmarkStart w:id="7" w:name="_Toc144974479"/>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TOC \o "1-1" \h \u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_Toc22328 </w:instrText>
      </w:r>
      <w:r>
        <w:rPr>
          <w:rFonts w:hint="eastAsia" w:ascii="仿宋" w:hAnsi="仿宋" w:eastAsia="仿宋" w:cs="仿宋"/>
          <w:szCs w:val="24"/>
          <w:highlight w:val="none"/>
        </w:rPr>
        <w:fldChar w:fldCharType="separate"/>
      </w:r>
      <w:r>
        <w:rPr>
          <w:rFonts w:hint="eastAsia"/>
          <w:highlight w:val="none"/>
          <w:lang w:val="en-US" w:eastAsia="zh-CN"/>
        </w:rPr>
        <w:t>第一章 招标公告</w:t>
      </w:r>
      <w:r>
        <w:rPr>
          <w:highlight w:val="none"/>
        </w:rPr>
        <w:tab/>
      </w:r>
      <w:r>
        <w:rPr>
          <w:highlight w:val="none"/>
        </w:rPr>
        <w:fldChar w:fldCharType="begin"/>
      </w:r>
      <w:r>
        <w:rPr>
          <w:highlight w:val="none"/>
        </w:rPr>
        <w:instrText xml:space="preserve"> PAGEREF _Toc22328 \h </w:instrText>
      </w:r>
      <w:r>
        <w:rPr>
          <w:highlight w:val="none"/>
        </w:rPr>
        <w:fldChar w:fldCharType="separate"/>
      </w:r>
      <w:r>
        <w:rPr>
          <w:highlight w:val="none"/>
        </w:rPr>
        <w:t>1</w:t>
      </w:r>
      <w:r>
        <w:rPr>
          <w:highlight w:val="none"/>
        </w:rPr>
        <w:fldChar w:fldCharType="end"/>
      </w:r>
      <w:r>
        <w:rPr>
          <w:rFonts w:hint="eastAsia" w:ascii="仿宋" w:hAnsi="仿宋" w:eastAsia="仿宋" w:cs="仿宋"/>
          <w:color w:val="auto"/>
          <w:szCs w:val="24"/>
          <w:highlight w:val="none"/>
        </w:rPr>
        <w:fldChar w:fldCharType="end"/>
      </w:r>
    </w:p>
    <w:p>
      <w:pPr>
        <w:pStyle w:val="16"/>
        <w:tabs>
          <w:tab w:val="right" w:leader="dot" w:pos="8307"/>
        </w:tabs>
        <w:rPr>
          <w:highlight w:val="none"/>
        </w:rPr>
      </w:pPr>
      <w:r>
        <w:rPr>
          <w:rFonts w:hint="eastAsia" w:ascii="仿宋" w:hAnsi="仿宋" w:eastAsia="仿宋" w:cs="仿宋"/>
          <w:color w:val="auto"/>
          <w:szCs w:val="40"/>
          <w:highlight w:val="none"/>
        </w:rPr>
        <w:fldChar w:fldCharType="begin"/>
      </w:r>
      <w:r>
        <w:rPr>
          <w:rFonts w:hint="eastAsia" w:ascii="仿宋" w:hAnsi="仿宋" w:eastAsia="仿宋" w:cs="仿宋"/>
          <w:szCs w:val="40"/>
          <w:highlight w:val="none"/>
        </w:rPr>
        <w:instrText xml:space="preserve"> HYPERLINK \l _Toc6471 </w:instrText>
      </w:r>
      <w:r>
        <w:rPr>
          <w:rFonts w:hint="eastAsia" w:ascii="仿宋" w:hAnsi="仿宋" w:eastAsia="仿宋" w:cs="仿宋"/>
          <w:szCs w:val="40"/>
          <w:highlight w:val="none"/>
        </w:rPr>
        <w:fldChar w:fldCharType="separate"/>
      </w:r>
      <w:r>
        <w:rPr>
          <w:rFonts w:hint="eastAsia"/>
          <w:bCs/>
          <w:highlight w:val="none"/>
          <w:lang w:val="en-US" w:eastAsia="zh-CN"/>
        </w:rPr>
        <w:t>第二章 投标人须知</w:t>
      </w:r>
      <w:r>
        <w:rPr>
          <w:highlight w:val="none"/>
        </w:rPr>
        <w:tab/>
      </w:r>
      <w:r>
        <w:rPr>
          <w:highlight w:val="none"/>
        </w:rPr>
        <w:fldChar w:fldCharType="begin"/>
      </w:r>
      <w:r>
        <w:rPr>
          <w:highlight w:val="none"/>
        </w:rPr>
        <w:instrText xml:space="preserve"> PAGEREF _Toc6471 \h </w:instrText>
      </w:r>
      <w:r>
        <w:rPr>
          <w:highlight w:val="none"/>
        </w:rPr>
        <w:fldChar w:fldCharType="separate"/>
      </w:r>
      <w:r>
        <w:rPr>
          <w:highlight w:val="none"/>
        </w:rPr>
        <w:t>4</w:t>
      </w:r>
      <w:r>
        <w:rPr>
          <w:highlight w:val="none"/>
        </w:rPr>
        <w:fldChar w:fldCharType="end"/>
      </w:r>
      <w:r>
        <w:rPr>
          <w:rFonts w:hint="eastAsia" w:ascii="仿宋" w:hAnsi="仿宋" w:eastAsia="仿宋" w:cs="仿宋"/>
          <w:color w:val="auto"/>
          <w:szCs w:val="40"/>
          <w:highlight w:val="none"/>
        </w:rPr>
        <w:fldChar w:fldCharType="end"/>
      </w:r>
    </w:p>
    <w:p>
      <w:pPr>
        <w:pStyle w:val="16"/>
        <w:tabs>
          <w:tab w:val="right" w:leader="dot" w:pos="8307"/>
        </w:tabs>
        <w:rPr>
          <w:highlight w:val="none"/>
        </w:rPr>
      </w:pPr>
      <w:r>
        <w:rPr>
          <w:rFonts w:hint="eastAsia" w:ascii="仿宋" w:hAnsi="仿宋" w:eastAsia="仿宋" w:cs="仿宋"/>
          <w:color w:val="auto"/>
          <w:szCs w:val="40"/>
          <w:highlight w:val="none"/>
        </w:rPr>
        <w:fldChar w:fldCharType="begin"/>
      </w:r>
      <w:r>
        <w:rPr>
          <w:rFonts w:hint="eastAsia" w:ascii="仿宋" w:hAnsi="仿宋" w:eastAsia="仿宋" w:cs="仿宋"/>
          <w:szCs w:val="40"/>
          <w:highlight w:val="none"/>
        </w:rPr>
        <w:instrText xml:space="preserve"> HYPERLINK \l _Toc27874 </w:instrText>
      </w:r>
      <w:r>
        <w:rPr>
          <w:rFonts w:hint="eastAsia" w:ascii="仿宋" w:hAnsi="仿宋" w:eastAsia="仿宋" w:cs="仿宋"/>
          <w:szCs w:val="40"/>
          <w:highlight w:val="none"/>
        </w:rPr>
        <w:fldChar w:fldCharType="separate"/>
      </w:r>
      <w:r>
        <w:rPr>
          <w:rFonts w:hint="eastAsia"/>
          <w:highlight w:val="none"/>
          <w:lang w:val="en-US" w:eastAsia="zh-CN"/>
        </w:rPr>
        <w:t xml:space="preserve">第三章 </w:t>
      </w:r>
      <w:r>
        <w:rPr>
          <w:rFonts w:hint="eastAsia"/>
          <w:highlight w:val="none"/>
        </w:rPr>
        <w:t>合同条款</w:t>
      </w:r>
      <w:r>
        <w:rPr>
          <w:highlight w:val="none"/>
        </w:rPr>
        <w:tab/>
      </w:r>
      <w:r>
        <w:rPr>
          <w:highlight w:val="none"/>
        </w:rPr>
        <w:fldChar w:fldCharType="begin"/>
      </w:r>
      <w:r>
        <w:rPr>
          <w:highlight w:val="none"/>
        </w:rPr>
        <w:instrText xml:space="preserve"> PAGEREF _Toc27874 \h </w:instrText>
      </w:r>
      <w:r>
        <w:rPr>
          <w:highlight w:val="none"/>
        </w:rPr>
        <w:fldChar w:fldCharType="separate"/>
      </w:r>
      <w:r>
        <w:rPr>
          <w:highlight w:val="none"/>
        </w:rPr>
        <w:t>21</w:t>
      </w:r>
      <w:r>
        <w:rPr>
          <w:highlight w:val="none"/>
        </w:rPr>
        <w:fldChar w:fldCharType="end"/>
      </w:r>
      <w:r>
        <w:rPr>
          <w:rFonts w:hint="eastAsia" w:ascii="仿宋" w:hAnsi="仿宋" w:eastAsia="仿宋" w:cs="仿宋"/>
          <w:color w:val="auto"/>
          <w:szCs w:val="40"/>
          <w:highlight w:val="none"/>
        </w:rPr>
        <w:fldChar w:fldCharType="end"/>
      </w:r>
    </w:p>
    <w:p>
      <w:pPr>
        <w:pStyle w:val="16"/>
        <w:tabs>
          <w:tab w:val="right" w:leader="dot" w:pos="8307"/>
        </w:tabs>
        <w:rPr>
          <w:highlight w:val="none"/>
        </w:rPr>
      </w:pPr>
      <w:r>
        <w:rPr>
          <w:rFonts w:hint="eastAsia" w:ascii="仿宋" w:hAnsi="仿宋" w:eastAsia="仿宋" w:cs="仿宋"/>
          <w:color w:val="auto"/>
          <w:szCs w:val="40"/>
          <w:highlight w:val="none"/>
        </w:rPr>
        <w:fldChar w:fldCharType="begin"/>
      </w:r>
      <w:r>
        <w:rPr>
          <w:rFonts w:hint="eastAsia" w:ascii="仿宋" w:hAnsi="仿宋" w:eastAsia="仿宋" w:cs="仿宋"/>
          <w:szCs w:val="40"/>
          <w:highlight w:val="none"/>
        </w:rPr>
        <w:instrText xml:space="preserve"> HYPERLINK \l _Toc13549 </w:instrText>
      </w:r>
      <w:r>
        <w:rPr>
          <w:rFonts w:hint="eastAsia" w:ascii="仿宋" w:hAnsi="仿宋" w:eastAsia="仿宋" w:cs="仿宋"/>
          <w:szCs w:val="40"/>
          <w:highlight w:val="none"/>
        </w:rPr>
        <w:fldChar w:fldCharType="separate"/>
      </w:r>
      <w:r>
        <w:rPr>
          <w:rFonts w:hint="eastAsia"/>
          <w:highlight w:val="none"/>
          <w:lang w:val="en-US" w:eastAsia="zh-CN"/>
        </w:rPr>
        <w:t>第四章 合同格式</w:t>
      </w:r>
      <w:r>
        <w:rPr>
          <w:highlight w:val="none"/>
        </w:rPr>
        <w:tab/>
      </w:r>
      <w:r>
        <w:rPr>
          <w:highlight w:val="none"/>
        </w:rPr>
        <w:fldChar w:fldCharType="begin"/>
      </w:r>
      <w:r>
        <w:rPr>
          <w:highlight w:val="none"/>
        </w:rPr>
        <w:instrText xml:space="preserve"> PAGEREF _Toc13549 \h </w:instrText>
      </w:r>
      <w:r>
        <w:rPr>
          <w:highlight w:val="none"/>
        </w:rPr>
        <w:fldChar w:fldCharType="separate"/>
      </w:r>
      <w:r>
        <w:rPr>
          <w:highlight w:val="none"/>
        </w:rPr>
        <w:t>26</w:t>
      </w:r>
      <w:r>
        <w:rPr>
          <w:highlight w:val="none"/>
        </w:rPr>
        <w:fldChar w:fldCharType="end"/>
      </w:r>
      <w:r>
        <w:rPr>
          <w:rFonts w:hint="eastAsia" w:ascii="仿宋" w:hAnsi="仿宋" w:eastAsia="仿宋" w:cs="仿宋"/>
          <w:color w:val="auto"/>
          <w:szCs w:val="40"/>
          <w:highlight w:val="none"/>
        </w:rPr>
        <w:fldChar w:fldCharType="end"/>
      </w:r>
    </w:p>
    <w:p>
      <w:pPr>
        <w:pStyle w:val="16"/>
        <w:tabs>
          <w:tab w:val="right" w:leader="dot" w:pos="8307"/>
        </w:tabs>
        <w:rPr>
          <w:highlight w:val="none"/>
        </w:rPr>
      </w:pPr>
      <w:r>
        <w:rPr>
          <w:rFonts w:hint="eastAsia" w:ascii="仿宋" w:hAnsi="仿宋" w:eastAsia="仿宋" w:cs="仿宋"/>
          <w:color w:val="auto"/>
          <w:szCs w:val="40"/>
          <w:highlight w:val="none"/>
        </w:rPr>
        <w:fldChar w:fldCharType="begin"/>
      </w:r>
      <w:r>
        <w:rPr>
          <w:rFonts w:hint="eastAsia" w:ascii="仿宋" w:hAnsi="仿宋" w:eastAsia="仿宋" w:cs="仿宋"/>
          <w:szCs w:val="40"/>
          <w:highlight w:val="none"/>
        </w:rPr>
        <w:instrText xml:space="preserve"> HYPERLINK \l _Toc9126 </w:instrText>
      </w:r>
      <w:r>
        <w:rPr>
          <w:rFonts w:hint="eastAsia" w:ascii="仿宋" w:hAnsi="仿宋" w:eastAsia="仿宋" w:cs="仿宋"/>
          <w:szCs w:val="40"/>
          <w:highlight w:val="none"/>
        </w:rPr>
        <w:fldChar w:fldCharType="separate"/>
      </w:r>
      <w:r>
        <w:rPr>
          <w:rFonts w:hint="eastAsia" w:ascii="仿宋" w:hAnsi="仿宋" w:eastAsia="仿宋" w:cs="仿宋"/>
          <w:szCs w:val="21"/>
          <w:highlight w:val="none"/>
          <w:lang w:val="en-US" w:eastAsia="zh-CN"/>
        </w:rPr>
        <w:t xml:space="preserve">第五章 </w:t>
      </w:r>
      <w:r>
        <w:rPr>
          <w:rFonts w:hint="eastAsia" w:cs="仿宋"/>
          <w:szCs w:val="44"/>
          <w:highlight w:val="none"/>
          <w:lang w:eastAsia="zh-CN"/>
        </w:rPr>
        <w:t>服务标准和要求</w:t>
      </w:r>
      <w:r>
        <w:rPr>
          <w:highlight w:val="none"/>
        </w:rPr>
        <w:tab/>
      </w:r>
      <w:r>
        <w:rPr>
          <w:highlight w:val="none"/>
        </w:rPr>
        <w:fldChar w:fldCharType="begin"/>
      </w:r>
      <w:r>
        <w:rPr>
          <w:highlight w:val="none"/>
        </w:rPr>
        <w:instrText xml:space="preserve"> PAGEREF _Toc9126 \h </w:instrText>
      </w:r>
      <w:r>
        <w:rPr>
          <w:highlight w:val="none"/>
        </w:rPr>
        <w:fldChar w:fldCharType="separate"/>
      </w:r>
      <w:r>
        <w:rPr>
          <w:highlight w:val="none"/>
        </w:rPr>
        <w:t>29</w:t>
      </w:r>
      <w:r>
        <w:rPr>
          <w:highlight w:val="none"/>
        </w:rPr>
        <w:fldChar w:fldCharType="end"/>
      </w:r>
      <w:r>
        <w:rPr>
          <w:rFonts w:hint="eastAsia" w:ascii="仿宋" w:hAnsi="仿宋" w:eastAsia="仿宋" w:cs="仿宋"/>
          <w:color w:val="auto"/>
          <w:szCs w:val="40"/>
          <w:highlight w:val="none"/>
        </w:rPr>
        <w:fldChar w:fldCharType="end"/>
      </w:r>
    </w:p>
    <w:p>
      <w:pPr>
        <w:pStyle w:val="16"/>
        <w:tabs>
          <w:tab w:val="right" w:leader="dot" w:pos="8307"/>
        </w:tabs>
        <w:rPr>
          <w:highlight w:val="none"/>
        </w:rPr>
      </w:pPr>
      <w:r>
        <w:rPr>
          <w:rFonts w:hint="eastAsia" w:ascii="仿宋" w:hAnsi="仿宋" w:eastAsia="仿宋" w:cs="仿宋"/>
          <w:color w:val="auto"/>
          <w:szCs w:val="40"/>
          <w:highlight w:val="none"/>
        </w:rPr>
        <w:fldChar w:fldCharType="begin"/>
      </w:r>
      <w:r>
        <w:rPr>
          <w:rFonts w:hint="eastAsia" w:ascii="仿宋" w:hAnsi="仿宋" w:eastAsia="仿宋" w:cs="仿宋"/>
          <w:szCs w:val="40"/>
          <w:highlight w:val="none"/>
        </w:rPr>
        <w:instrText xml:space="preserve"> HYPERLINK \l _Toc5281 </w:instrText>
      </w:r>
      <w:r>
        <w:rPr>
          <w:rFonts w:hint="eastAsia" w:ascii="仿宋" w:hAnsi="仿宋" w:eastAsia="仿宋" w:cs="仿宋"/>
          <w:szCs w:val="40"/>
          <w:highlight w:val="none"/>
        </w:rPr>
        <w:fldChar w:fldCharType="separate"/>
      </w:r>
      <w:r>
        <w:rPr>
          <w:rFonts w:hint="eastAsia" w:ascii="仿宋" w:hAnsi="仿宋" w:eastAsia="仿宋" w:cs="仿宋"/>
          <w:szCs w:val="21"/>
          <w:highlight w:val="none"/>
          <w:lang w:val="en-US" w:eastAsia="zh-CN"/>
        </w:rPr>
        <w:t>第</w:t>
      </w:r>
      <w:r>
        <w:rPr>
          <w:rFonts w:hint="eastAsia" w:cs="仿宋"/>
          <w:szCs w:val="21"/>
          <w:highlight w:val="none"/>
          <w:lang w:val="en-US" w:eastAsia="zh-CN"/>
        </w:rPr>
        <w:t>六</w:t>
      </w:r>
      <w:r>
        <w:rPr>
          <w:rFonts w:hint="eastAsia" w:ascii="仿宋" w:hAnsi="仿宋" w:eastAsia="仿宋" w:cs="仿宋"/>
          <w:szCs w:val="21"/>
          <w:highlight w:val="none"/>
          <w:lang w:val="en-US" w:eastAsia="zh-CN"/>
        </w:rPr>
        <w:t xml:space="preserve">章 </w:t>
      </w:r>
      <w:r>
        <w:rPr>
          <w:rFonts w:hint="eastAsia" w:cs="仿宋"/>
          <w:szCs w:val="44"/>
          <w:highlight w:val="none"/>
          <w:lang w:eastAsia="zh-CN"/>
        </w:rPr>
        <w:t>投标文件格式</w:t>
      </w:r>
      <w:r>
        <w:rPr>
          <w:highlight w:val="none"/>
        </w:rPr>
        <w:tab/>
      </w:r>
      <w:r>
        <w:rPr>
          <w:highlight w:val="none"/>
        </w:rPr>
        <w:fldChar w:fldCharType="begin"/>
      </w:r>
      <w:r>
        <w:rPr>
          <w:highlight w:val="none"/>
        </w:rPr>
        <w:instrText xml:space="preserve"> PAGEREF _Toc5281 \h </w:instrText>
      </w:r>
      <w:r>
        <w:rPr>
          <w:highlight w:val="none"/>
        </w:rPr>
        <w:fldChar w:fldCharType="separate"/>
      </w:r>
      <w:r>
        <w:rPr>
          <w:highlight w:val="none"/>
        </w:rPr>
        <w:t>31</w:t>
      </w:r>
      <w:r>
        <w:rPr>
          <w:highlight w:val="none"/>
        </w:rPr>
        <w:fldChar w:fldCharType="end"/>
      </w:r>
      <w:r>
        <w:rPr>
          <w:rFonts w:hint="eastAsia" w:ascii="仿宋" w:hAnsi="仿宋" w:eastAsia="仿宋" w:cs="仿宋"/>
          <w:color w:val="auto"/>
          <w:szCs w:val="40"/>
          <w:highlight w:val="none"/>
        </w:rPr>
        <w:fldChar w:fldCharType="end"/>
      </w:r>
    </w:p>
    <w:p>
      <w:pPr>
        <w:pStyle w:val="16"/>
        <w:tabs>
          <w:tab w:val="right" w:leader="dot" w:pos="8307"/>
        </w:tabs>
        <w:rPr>
          <w:highlight w:val="none"/>
        </w:rPr>
      </w:pPr>
      <w:r>
        <w:rPr>
          <w:rFonts w:hint="eastAsia" w:ascii="仿宋" w:hAnsi="仿宋" w:eastAsia="仿宋" w:cs="仿宋"/>
          <w:color w:val="auto"/>
          <w:szCs w:val="40"/>
          <w:highlight w:val="none"/>
        </w:rPr>
        <w:fldChar w:fldCharType="begin"/>
      </w:r>
      <w:r>
        <w:rPr>
          <w:rFonts w:hint="eastAsia" w:ascii="仿宋" w:hAnsi="仿宋" w:eastAsia="仿宋" w:cs="仿宋"/>
          <w:szCs w:val="40"/>
          <w:highlight w:val="none"/>
        </w:rPr>
        <w:instrText xml:space="preserve"> HYPERLINK \l _Toc5420 </w:instrText>
      </w:r>
      <w:r>
        <w:rPr>
          <w:rFonts w:hint="eastAsia" w:ascii="仿宋" w:hAnsi="仿宋" w:eastAsia="仿宋" w:cs="仿宋"/>
          <w:szCs w:val="40"/>
          <w:highlight w:val="none"/>
        </w:rPr>
        <w:fldChar w:fldCharType="separate"/>
      </w:r>
      <w:r>
        <w:rPr>
          <w:rFonts w:hint="eastAsia" w:ascii="仿宋" w:hAnsi="仿宋" w:eastAsia="仿宋" w:cs="仿宋"/>
          <w:bCs/>
          <w:highlight w:val="none"/>
          <w:lang w:val="en-US" w:eastAsia="zh-CN"/>
        </w:rPr>
        <w:t>第</w:t>
      </w:r>
      <w:r>
        <w:rPr>
          <w:rFonts w:hint="eastAsia" w:cs="仿宋"/>
          <w:bCs/>
          <w:highlight w:val="none"/>
          <w:lang w:val="en-US" w:eastAsia="zh-CN"/>
        </w:rPr>
        <w:t>七</w:t>
      </w:r>
      <w:r>
        <w:rPr>
          <w:rFonts w:hint="eastAsia" w:ascii="仿宋" w:hAnsi="仿宋" w:eastAsia="仿宋" w:cs="仿宋"/>
          <w:bCs/>
          <w:highlight w:val="none"/>
          <w:lang w:val="en-US" w:eastAsia="zh-CN"/>
        </w:rPr>
        <w:t>章</w:t>
      </w:r>
      <w:r>
        <w:rPr>
          <w:rFonts w:hint="eastAsia" w:ascii="仿宋" w:hAnsi="仿宋" w:eastAsia="仿宋" w:cs="仿宋"/>
          <w:highlight w:val="none"/>
          <w:lang w:val="en-US" w:eastAsia="zh-CN"/>
        </w:rPr>
        <w:t xml:space="preserve"> </w:t>
      </w:r>
      <w:r>
        <w:rPr>
          <w:rFonts w:hint="eastAsia" w:ascii="仿宋" w:hAnsi="仿宋" w:eastAsia="仿宋" w:cs="仿宋"/>
          <w:bCs/>
          <w:szCs w:val="44"/>
          <w:highlight w:val="none"/>
          <w:lang w:eastAsia="zh-CN"/>
        </w:rPr>
        <w:t>评标办法</w:t>
      </w:r>
      <w:r>
        <w:rPr>
          <w:highlight w:val="none"/>
        </w:rPr>
        <w:tab/>
      </w:r>
      <w:r>
        <w:rPr>
          <w:highlight w:val="none"/>
        </w:rPr>
        <w:fldChar w:fldCharType="begin"/>
      </w:r>
      <w:r>
        <w:rPr>
          <w:highlight w:val="none"/>
        </w:rPr>
        <w:instrText xml:space="preserve"> PAGEREF _Toc5420 \h </w:instrText>
      </w:r>
      <w:r>
        <w:rPr>
          <w:highlight w:val="none"/>
        </w:rPr>
        <w:fldChar w:fldCharType="separate"/>
      </w:r>
      <w:r>
        <w:rPr>
          <w:highlight w:val="none"/>
        </w:rPr>
        <w:t>53</w:t>
      </w:r>
      <w:r>
        <w:rPr>
          <w:highlight w:val="none"/>
        </w:rPr>
        <w:fldChar w:fldCharType="end"/>
      </w:r>
      <w:r>
        <w:rPr>
          <w:rFonts w:hint="eastAsia" w:ascii="仿宋" w:hAnsi="仿宋" w:eastAsia="仿宋" w:cs="仿宋"/>
          <w:color w:val="auto"/>
          <w:szCs w:val="40"/>
          <w:highlight w:val="none"/>
        </w:rPr>
        <w:fldChar w:fldCharType="end"/>
      </w:r>
    </w:p>
    <w:p>
      <w:pPr>
        <w:rPr>
          <w:rFonts w:hint="eastAsia" w:ascii="仿宋" w:hAnsi="仿宋" w:eastAsia="仿宋" w:cs="仿宋"/>
          <w:color w:val="auto"/>
          <w:sz w:val="36"/>
          <w:szCs w:val="40"/>
          <w:highlight w:val="none"/>
        </w:rPr>
      </w:pPr>
      <w:r>
        <w:rPr>
          <w:rFonts w:hint="eastAsia" w:ascii="仿宋" w:hAnsi="仿宋" w:eastAsia="仿宋" w:cs="仿宋"/>
          <w:color w:val="auto"/>
          <w:szCs w:val="40"/>
          <w:highlight w:val="none"/>
        </w:rPr>
        <w:fldChar w:fldCharType="end"/>
      </w:r>
      <w:bookmarkEnd w:id="4"/>
      <w:bookmarkEnd w:id="5"/>
      <w:bookmarkEnd w:id="6"/>
      <w:bookmarkEnd w:id="7"/>
      <w:bookmarkStart w:id="8" w:name="_Toc18657"/>
      <w:bookmarkStart w:id="9" w:name="_Toc52181453"/>
      <w:bookmarkStart w:id="10" w:name="_Toc55285621"/>
    </w:p>
    <w:p>
      <w:pPr>
        <w:pStyle w:val="2"/>
        <w:numPr>
          <w:ilvl w:val="0"/>
          <w:numId w:val="3"/>
        </w:numPr>
        <w:bidi w:val="0"/>
        <w:rPr>
          <w:rFonts w:hint="eastAsia"/>
          <w:color w:val="auto"/>
          <w:highlight w:val="none"/>
          <w:lang w:val="en-US" w:eastAsia="zh-CN"/>
        </w:rPr>
        <w:sectPr>
          <w:footerReference r:id="rId5" w:type="default"/>
          <w:pgSz w:w="11907" w:h="16840"/>
          <w:pgMar w:top="1440" w:right="1800" w:bottom="1440" w:left="1800" w:header="680" w:footer="907" w:gutter="0"/>
          <w:pgNumType w:fmt="decimal" w:start="1"/>
          <w:cols w:space="0" w:num="1"/>
          <w:rtlGutter w:val="0"/>
          <w:docGrid w:linePitch="271" w:charSpace="0"/>
        </w:sectPr>
      </w:pPr>
    </w:p>
    <w:p>
      <w:pPr>
        <w:pStyle w:val="2"/>
        <w:numPr>
          <w:ilvl w:val="0"/>
          <w:numId w:val="3"/>
        </w:numPr>
        <w:bidi w:val="0"/>
        <w:rPr>
          <w:rFonts w:hint="eastAsia"/>
          <w:color w:val="auto"/>
          <w:highlight w:val="none"/>
          <w:lang w:val="en-US" w:eastAsia="zh-CN"/>
        </w:rPr>
      </w:pPr>
      <w:bookmarkStart w:id="11" w:name="_Toc22328"/>
      <w:r>
        <w:rPr>
          <w:rFonts w:hint="eastAsia"/>
          <w:color w:val="auto"/>
          <w:highlight w:val="none"/>
          <w:lang w:val="en-US" w:eastAsia="zh-CN"/>
        </w:rPr>
        <w:t>招标公告</w:t>
      </w:r>
      <w:bookmarkEnd w:id="8"/>
      <w:bookmarkEnd w:id="11"/>
    </w:p>
    <w:bookmarkEnd w:id="9"/>
    <w:bookmarkEnd w:id="10"/>
    <w:p>
      <w:pPr>
        <w:rPr>
          <w:rFonts w:hint="eastAsia"/>
          <w:b/>
          <w:bCs/>
          <w:sz w:val="32"/>
          <w:szCs w:val="32"/>
          <w:highlight w:val="none"/>
          <w:lang w:eastAsia="zh-CN"/>
        </w:rPr>
      </w:pPr>
      <w:bookmarkStart w:id="12" w:name="_Toc152042304"/>
      <w:bookmarkStart w:id="13" w:name="_Toc179632545"/>
      <w:bookmarkStart w:id="14" w:name="_Toc246996174"/>
      <w:bookmarkStart w:id="15" w:name="_Toc152045528"/>
      <w:bookmarkStart w:id="16" w:name="_Toc247085688"/>
      <w:bookmarkStart w:id="17" w:name="_Toc144974496"/>
      <w:bookmarkStart w:id="18" w:name="_Toc296602419"/>
      <w:bookmarkStart w:id="19" w:name="_Toc246996917"/>
      <w:r>
        <w:rPr>
          <w:rFonts w:hint="eastAsia"/>
          <w:b/>
          <w:bCs/>
          <w:sz w:val="32"/>
          <w:szCs w:val="32"/>
          <w:highlight w:val="none"/>
          <w:lang w:eastAsia="zh-CN"/>
        </w:rPr>
        <w:t>吉林市中小企业数字化转型试点城市评测及验收服务项目</w:t>
      </w:r>
    </w:p>
    <w:p>
      <w:pPr>
        <w:jc w:val="center"/>
        <w:rPr>
          <w:rFonts w:hint="eastAsia"/>
          <w:b/>
          <w:bCs/>
          <w:sz w:val="32"/>
          <w:szCs w:val="32"/>
          <w:highlight w:val="none"/>
        </w:rPr>
      </w:pPr>
      <w:r>
        <w:rPr>
          <w:rFonts w:hint="eastAsia"/>
          <w:b/>
          <w:bCs/>
          <w:sz w:val="32"/>
          <w:szCs w:val="32"/>
          <w:highlight w:val="none"/>
          <w:lang w:val="en-US" w:eastAsia="zh-CN"/>
        </w:rPr>
        <w:t>公开招标公告</w:t>
      </w:r>
    </w:p>
    <w:tbl>
      <w:tblPr>
        <w:tblStyle w:val="22"/>
        <w:tblW w:w="0" w:type="auto"/>
        <w:tblInd w:w="11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0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1394" w:hRule="atLeast"/>
        </w:trPr>
        <w:tc>
          <w:tcPr>
            <w:tcW w:w="830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bidi w:val="0"/>
              <w:ind w:left="0" w:leftChars="0" w:firstLine="0" w:firstLineChars="0"/>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项目概况</w:t>
            </w:r>
          </w:p>
          <w:p>
            <w:pPr>
              <w:bidi w:val="0"/>
              <w:ind w:firstLine="420" w:firstLineChars="200"/>
              <w:rPr>
                <w:rFonts w:hint="eastAsia" w:ascii="仿宋" w:hAnsi="仿宋" w:eastAsia="仿宋" w:cs="仿宋"/>
                <w:color w:val="auto"/>
                <w:szCs w:val="21"/>
                <w:highlight w:val="none"/>
              </w:rPr>
            </w:pPr>
            <w:r>
              <w:rPr>
                <w:rFonts w:hint="eastAsia" w:cs="仿宋"/>
                <w:sz w:val="21"/>
                <w:szCs w:val="21"/>
                <w:highlight w:val="none"/>
                <w:u w:val="single"/>
                <w:lang w:eastAsia="zh-CN"/>
              </w:rPr>
              <w:t>吉林市中小企业数字化转型试点城市评测及验收服务项目</w:t>
            </w:r>
            <w:r>
              <w:rPr>
                <w:rFonts w:hint="eastAsia" w:ascii="仿宋" w:hAnsi="仿宋" w:eastAsia="仿宋" w:cs="仿宋"/>
                <w:sz w:val="21"/>
                <w:szCs w:val="21"/>
                <w:highlight w:val="none"/>
              </w:rPr>
              <w:t>的潜在投标人应</w:t>
            </w:r>
            <w:r>
              <w:rPr>
                <w:rFonts w:hint="eastAsia" w:ascii="仿宋" w:hAnsi="仿宋" w:eastAsia="仿宋" w:cs="仿宋"/>
                <w:sz w:val="21"/>
                <w:szCs w:val="21"/>
                <w:highlight w:val="none"/>
                <w:lang w:val="en-US" w:eastAsia="zh-CN"/>
              </w:rPr>
              <w:t>在</w:t>
            </w:r>
            <w:r>
              <w:rPr>
                <w:rFonts w:hint="eastAsia" w:ascii="仿宋" w:hAnsi="仿宋" w:eastAsia="仿宋" w:cs="仿宋"/>
                <w:sz w:val="21"/>
                <w:szCs w:val="21"/>
                <w:highlight w:val="none"/>
              </w:rPr>
              <w:t>政采云平台（http：//www.zcygov.cn）</w:t>
            </w:r>
            <w:r>
              <w:rPr>
                <w:rFonts w:hint="eastAsia" w:ascii="仿宋" w:hAnsi="仿宋" w:eastAsia="仿宋" w:cs="仿宋"/>
                <w:sz w:val="21"/>
                <w:szCs w:val="21"/>
                <w:highlight w:val="none"/>
                <w:lang w:val="en-US" w:eastAsia="zh-CN"/>
              </w:rPr>
              <w:t>线上</w:t>
            </w:r>
            <w:r>
              <w:rPr>
                <w:rFonts w:hint="eastAsia" w:ascii="仿宋" w:hAnsi="仿宋" w:eastAsia="仿宋" w:cs="仿宋"/>
                <w:sz w:val="21"/>
                <w:szCs w:val="21"/>
                <w:highlight w:val="none"/>
              </w:rPr>
              <w:t>获取</w:t>
            </w:r>
            <w:r>
              <w:rPr>
                <w:rFonts w:hint="eastAsia" w:ascii="仿宋" w:hAnsi="仿宋" w:eastAsia="仿宋" w:cs="仿宋"/>
                <w:sz w:val="21"/>
                <w:szCs w:val="21"/>
                <w:highlight w:val="none"/>
                <w:lang w:val="en-US" w:eastAsia="zh-CN"/>
              </w:rPr>
              <w:t>招标文件</w:t>
            </w:r>
            <w:r>
              <w:rPr>
                <w:rFonts w:hint="eastAsia" w:ascii="仿宋" w:hAnsi="仿宋" w:eastAsia="仿宋" w:cs="仿宋"/>
                <w:sz w:val="21"/>
                <w:szCs w:val="21"/>
                <w:highlight w:val="none"/>
              </w:rPr>
              <w:t>，并于</w:t>
            </w:r>
            <w:r>
              <w:rPr>
                <w:rFonts w:hint="eastAsia" w:cs="仿宋"/>
                <w:sz w:val="21"/>
                <w:szCs w:val="21"/>
                <w:highlight w:val="none"/>
                <w:lang w:eastAsia="zh-CN"/>
              </w:rPr>
              <w:t>2025年07月15日09时30分（北京时间）</w:t>
            </w:r>
            <w:r>
              <w:rPr>
                <w:rFonts w:hint="eastAsia" w:ascii="仿宋" w:hAnsi="仿宋" w:eastAsia="仿宋" w:cs="仿宋"/>
                <w:sz w:val="21"/>
                <w:szCs w:val="21"/>
                <w:highlight w:val="none"/>
              </w:rPr>
              <w:t>前提交响应文件。</w:t>
            </w:r>
          </w:p>
        </w:tc>
      </w:tr>
    </w:tbl>
    <w:p>
      <w:pPr>
        <w:keepNext w:val="0"/>
        <w:keepLines w:val="0"/>
        <w:pageBreakBefore w:val="0"/>
        <w:widowControl/>
        <w:kinsoku/>
        <w:wordWrap/>
        <w:overflowPunct/>
        <w:topLinePunct w:val="0"/>
        <w:autoSpaceDE/>
        <w:autoSpaceDN/>
        <w:bidi w:val="0"/>
        <w:adjustRightInd/>
        <w:snapToGrid/>
        <w:spacing w:before="136" w:beforeLines="50" w:after="136" w:afterLines="50" w:line="240" w:lineRule="auto"/>
        <w:ind w:left="0" w:leftChars="0" w:firstLine="0" w:firstLineChars="0"/>
        <w:textAlignment w:val="auto"/>
        <w:outlineLvl w:val="1"/>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一、项目基本情况</w:t>
      </w:r>
    </w:p>
    <w:p>
      <w:pPr>
        <w:numPr>
          <w:ilvl w:val="0"/>
          <w:numId w:val="4"/>
        </w:numPr>
        <w:bidi w:val="0"/>
        <w:ind w:left="845" w:leftChars="0" w:hanging="425"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项目编号：</w:t>
      </w:r>
      <w:r>
        <w:rPr>
          <w:rFonts w:hint="eastAsia" w:cs="仿宋"/>
          <w:sz w:val="21"/>
          <w:szCs w:val="21"/>
          <w:highlight w:val="none"/>
          <w:lang w:eastAsia="zh-CN"/>
        </w:rPr>
        <w:t>采购计划-[2025]-00270号-ZYCXZB0038</w:t>
      </w:r>
    </w:p>
    <w:p>
      <w:pPr>
        <w:numPr>
          <w:ilvl w:val="0"/>
          <w:numId w:val="4"/>
        </w:numPr>
        <w:bidi w:val="0"/>
        <w:ind w:left="845" w:leftChars="0" w:hanging="425"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项目名称：</w:t>
      </w:r>
      <w:r>
        <w:rPr>
          <w:rFonts w:hint="eastAsia" w:cs="仿宋"/>
          <w:sz w:val="21"/>
          <w:szCs w:val="21"/>
          <w:highlight w:val="none"/>
          <w:lang w:eastAsia="zh-CN"/>
        </w:rPr>
        <w:t>吉林市中小企业数字化转型试点城市评测及验收服务项目</w:t>
      </w:r>
    </w:p>
    <w:p>
      <w:pPr>
        <w:numPr>
          <w:ilvl w:val="0"/>
          <w:numId w:val="4"/>
        </w:numPr>
        <w:bidi w:val="0"/>
        <w:ind w:left="845" w:leftChars="0" w:hanging="425"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预算金额：</w:t>
      </w:r>
      <w:r>
        <w:rPr>
          <w:rFonts w:hint="eastAsia" w:cs="仿宋"/>
          <w:sz w:val="21"/>
          <w:szCs w:val="21"/>
          <w:highlight w:val="none"/>
          <w:lang w:val="en-US" w:eastAsia="zh-CN"/>
        </w:rPr>
        <w:t>400.00万元</w:t>
      </w:r>
      <w:r>
        <w:rPr>
          <w:rFonts w:hint="eastAsia" w:ascii="仿宋" w:hAnsi="仿宋" w:eastAsia="仿宋" w:cs="仿宋"/>
          <w:sz w:val="21"/>
          <w:szCs w:val="21"/>
          <w:highlight w:val="none"/>
        </w:rPr>
        <w:t>（人民币）</w:t>
      </w:r>
    </w:p>
    <w:p>
      <w:pPr>
        <w:numPr>
          <w:ilvl w:val="0"/>
          <w:numId w:val="4"/>
        </w:numPr>
        <w:bidi w:val="0"/>
        <w:ind w:left="845" w:leftChars="0" w:hanging="425" w:firstLineChars="0"/>
        <w:rPr>
          <w:rFonts w:hint="eastAsia" w:cs="仿宋"/>
          <w:sz w:val="21"/>
          <w:szCs w:val="21"/>
          <w:highlight w:val="none"/>
          <w:lang w:eastAsia="zh-CN"/>
        </w:rPr>
      </w:pPr>
      <w:r>
        <w:rPr>
          <w:rFonts w:hint="eastAsia" w:ascii="仿宋" w:hAnsi="仿宋" w:eastAsia="仿宋" w:cs="仿宋"/>
          <w:sz w:val="21"/>
          <w:szCs w:val="21"/>
          <w:highlight w:val="none"/>
        </w:rPr>
        <w:t>采购</w:t>
      </w:r>
      <w:r>
        <w:rPr>
          <w:rFonts w:hint="eastAsia" w:ascii="仿宋" w:hAnsi="仿宋" w:eastAsia="仿宋" w:cs="仿宋"/>
          <w:sz w:val="21"/>
          <w:szCs w:val="21"/>
          <w:highlight w:val="none"/>
          <w:lang w:val="en-US" w:eastAsia="zh-CN"/>
        </w:rPr>
        <w:t>内</w:t>
      </w:r>
      <w:r>
        <w:rPr>
          <w:rFonts w:hint="eastAsia" w:cs="仿宋"/>
          <w:sz w:val="21"/>
          <w:szCs w:val="21"/>
          <w:highlight w:val="none"/>
          <w:lang w:val="en-US" w:eastAsia="zh-CN"/>
        </w:rPr>
        <w:t>容</w:t>
      </w:r>
      <w:r>
        <w:rPr>
          <w:rFonts w:hint="eastAsia" w:cs="仿宋"/>
          <w:sz w:val="21"/>
          <w:szCs w:val="21"/>
          <w:highlight w:val="none"/>
          <w:lang w:eastAsia="zh-CN"/>
        </w:rPr>
        <w:t>：围绕国家中小企业数字化转型试点城市工作总体要求，拟选取第三方验收测评机构，为吉林市中小企业数字化转型试点城市工作提供支撑，按照工信部发布的最新版《中小企业数字化水平评测指标》，评定企业改造后的数字化水平等级，出具评测等级报告、完成改造成效验收等工作。同时，对试点城市及数字化转型工作中，涉及的优秀服务商遴选、“小快轻准”产品评选、转型标杆企业遴选等相关工作，提供专家评审支持，</w:t>
      </w:r>
      <w:r>
        <w:rPr>
          <w:rFonts w:hint="eastAsia" w:cs="仿宋"/>
          <w:sz w:val="21"/>
          <w:szCs w:val="21"/>
          <w:highlight w:val="none"/>
          <w:lang w:val="en-US" w:eastAsia="zh-CN"/>
        </w:rPr>
        <w:t>详见招标文件。</w:t>
      </w:r>
    </w:p>
    <w:p>
      <w:pPr>
        <w:numPr>
          <w:ilvl w:val="0"/>
          <w:numId w:val="4"/>
        </w:numPr>
        <w:bidi w:val="0"/>
        <w:ind w:left="845" w:leftChars="0" w:hanging="425" w:firstLineChars="0"/>
        <w:rPr>
          <w:rFonts w:hint="eastAsia" w:ascii="仿宋" w:hAnsi="仿宋" w:eastAsia="仿宋" w:cs="仿宋"/>
          <w:sz w:val="21"/>
          <w:szCs w:val="21"/>
          <w:highlight w:val="none"/>
        </w:rPr>
      </w:pPr>
      <w:r>
        <w:rPr>
          <w:rFonts w:hint="eastAsia" w:cs="仿宋"/>
          <w:sz w:val="21"/>
          <w:szCs w:val="21"/>
          <w:highlight w:val="none"/>
          <w:lang w:val="en-US" w:eastAsia="zh-CN"/>
        </w:rPr>
        <w:t>服务</w:t>
      </w:r>
      <w:r>
        <w:rPr>
          <w:rFonts w:hint="eastAsia" w:ascii="仿宋" w:hAnsi="仿宋" w:eastAsia="仿宋" w:cs="仿宋"/>
          <w:sz w:val="21"/>
          <w:szCs w:val="21"/>
          <w:highlight w:val="none"/>
        </w:rPr>
        <w:t>地点：</w:t>
      </w:r>
      <w:r>
        <w:rPr>
          <w:rFonts w:hint="eastAsia" w:ascii="仿宋" w:hAnsi="仿宋" w:eastAsia="仿宋" w:cs="仿宋"/>
          <w:sz w:val="21"/>
          <w:szCs w:val="21"/>
          <w:highlight w:val="none"/>
          <w:lang w:eastAsia="zh-CN"/>
        </w:rPr>
        <w:t>采购人指定地点</w:t>
      </w:r>
    </w:p>
    <w:p>
      <w:pPr>
        <w:numPr>
          <w:ilvl w:val="0"/>
          <w:numId w:val="4"/>
        </w:numPr>
        <w:bidi w:val="0"/>
        <w:ind w:left="845" w:leftChars="0" w:hanging="425" w:firstLineChars="0"/>
        <w:rPr>
          <w:rFonts w:hint="eastAsia" w:ascii="仿宋" w:hAnsi="仿宋" w:eastAsia="仿宋" w:cs="仿宋"/>
          <w:sz w:val="21"/>
          <w:szCs w:val="21"/>
          <w:highlight w:val="none"/>
          <w:lang w:eastAsia="zh-CN"/>
        </w:rPr>
      </w:pPr>
      <w:r>
        <w:rPr>
          <w:rFonts w:hint="eastAsia" w:cs="仿宋"/>
          <w:sz w:val="21"/>
          <w:szCs w:val="21"/>
          <w:highlight w:val="none"/>
          <w:lang w:val="en-US" w:eastAsia="zh-CN"/>
        </w:rPr>
        <w:t>服务</w:t>
      </w:r>
      <w:r>
        <w:rPr>
          <w:rFonts w:hint="eastAsia" w:ascii="仿宋" w:hAnsi="仿宋" w:eastAsia="仿宋" w:cs="仿宋"/>
          <w:sz w:val="21"/>
          <w:szCs w:val="21"/>
          <w:highlight w:val="none"/>
          <w:lang w:val="en-US" w:eastAsia="zh-CN"/>
        </w:rPr>
        <w:t>期</w:t>
      </w:r>
      <w:r>
        <w:rPr>
          <w:rFonts w:hint="eastAsia" w:ascii="仿宋" w:hAnsi="仿宋" w:eastAsia="仿宋" w:cs="仿宋"/>
          <w:sz w:val="21"/>
          <w:szCs w:val="21"/>
          <w:highlight w:val="none"/>
        </w:rPr>
        <w:t>：</w:t>
      </w:r>
      <w:r>
        <w:rPr>
          <w:rFonts w:hint="eastAsia" w:cs="仿宋"/>
          <w:sz w:val="21"/>
          <w:szCs w:val="21"/>
          <w:highlight w:val="none"/>
          <w:lang w:val="en-US" w:eastAsia="zh-CN"/>
        </w:rPr>
        <w:t>签订合同之日起至2026年12月31日。</w:t>
      </w:r>
    </w:p>
    <w:p>
      <w:pPr>
        <w:numPr>
          <w:ilvl w:val="0"/>
          <w:numId w:val="4"/>
        </w:numPr>
        <w:bidi w:val="0"/>
        <w:ind w:left="845" w:leftChars="0" w:hanging="425"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质量标准要求：</w:t>
      </w:r>
      <w:r>
        <w:rPr>
          <w:rFonts w:hint="eastAsia" w:cs="仿宋"/>
          <w:sz w:val="21"/>
          <w:szCs w:val="21"/>
          <w:highlight w:val="none"/>
          <w:lang w:eastAsia="zh-CN"/>
        </w:rPr>
        <w:t>符合国家、行业现行相关标准及采购人合理要求的合格服务</w:t>
      </w:r>
    </w:p>
    <w:p>
      <w:pPr>
        <w:numPr>
          <w:ilvl w:val="0"/>
          <w:numId w:val="4"/>
        </w:numPr>
        <w:bidi w:val="0"/>
        <w:ind w:left="845" w:leftChars="0" w:hanging="425" w:firstLineChars="0"/>
        <w:rPr>
          <w:rFonts w:hint="eastAsia" w:ascii="仿宋" w:hAnsi="仿宋" w:eastAsia="仿宋" w:cs="仿宋"/>
          <w:sz w:val="21"/>
          <w:szCs w:val="21"/>
          <w:highlight w:val="none"/>
        </w:rPr>
      </w:pPr>
      <w:r>
        <w:rPr>
          <w:rFonts w:hint="eastAsia" w:cs="仿宋"/>
          <w:sz w:val="21"/>
          <w:szCs w:val="21"/>
          <w:highlight w:val="none"/>
          <w:lang w:eastAsia="zh-CN"/>
        </w:rPr>
        <w:t>本项目接受联合体投标</w:t>
      </w:r>
    </w:p>
    <w:p>
      <w:pPr>
        <w:keepNext w:val="0"/>
        <w:keepLines w:val="0"/>
        <w:pageBreakBefore w:val="0"/>
        <w:widowControl/>
        <w:kinsoku/>
        <w:wordWrap/>
        <w:overflowPunct/>
        <w:topLinePunct w:val="0"/>
        <w:autoSpaceDE/>
        <w:autoSpaceDN/>
        <w:bidi w:val="0"/>
        <w:adjustRightInd/>
        <w:snapToGrid/>
        <w:spacing w:before="136" w:beforeLines="50" w:after="136" w:afterLines="50" w:line="240" w:lineRule="auto"/>
        <w:ind w:left="0" w:leftChars="0" w:firstLine="0" w:firstLineChars="0"/>
        <w:textAlignment w:val="auto"/>
        <w:outlineLvl w:val="1"/>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二、申请人资格要求</w:t>
      </w:r>
    </w:p>
    <w:p>
      <w:pPr>
        <w:bidi w:val="0"/>
        <w:rPr>
          <w:rFonts w:hint="eastAsia" w:ascii="仿宋" w:hAnsi="仿宋" w:eastAsia="仿宋" w:cs="仿宋"/>
          <w:sz w:val="21"/>
          <w:szCs w:val="21"/>
          <w:highlight w:val="none"/>
        </w:rPr>
      </w:pPr>
      <w:r>
        <w:rPr>
          <w:rFonts w:hint="eastAsia" w:ascii="仿宋" w:hAnsi="仿宋" w:eastAsia="仿宋" w:cs="仿宋"/>
          <w:sz w:val="21"/>
          <w:szCs w:val="21"/>
          <w:highlight w:val="none"/>
        </w:rPr>
        <w:t>1、满足《中华人民共和国政府采购法》第二十二条规定：</w:t>
      </w:r>
    </w:p>
    <w:p>
      <w:pPr>
        <w:bidi w:val="0"/>
        <w:ind w:left="420" w:leftChars="0"/>
        <w:rPr>
          <w:rFonts w:hint="eastAsia" w:ascii="仿宋" w:hAnsi="仿宋" w:eastAsia="仿宋" w:cs="仿宋"/>
          <w:sz w:val="21"/>
          <w:szCs w:val="21"/>
          <w:highlight w:val="none"/>
        </w:rPr>
      </w:pPr>
      <w:r>
        <w:rPr>
          <w:rFonts w:hint="eastAsia" w:ascii="仿宋" w:hAnsi="仿宋" w:eastAsia="仿宋" w:cs="仿宋"/>
          <w:sz w:val="21"/>
          <w:szCs w:val="21"/>
          <w:highlight w:val="none"/>
        </w:rPr>
        <w:t>(1)具有独立承担民事责任的能力；</w:t>
      </w:r>
    </w:p>
    <w:p>
      <w:pPr>
        <w:bidi w:val="0"/>
        <w:ind w:left="420" w:leftChars="0"/>
        <w:rPr>
          <w:rFonts w:hint="eastAsia" w:ascii="仿宋" w:hAnsi="仿宋" w:eastAsia="仿宋" w:cs="仿宋"/>
          <w:sz w:val="21"/>
          <w:szCs w:val="21"/>
          <w:highlight w:val="none"/>
        </w:rPr>
      </w:pPr>
      <w:r>
        <w:rPr>
          <w:rFonts w:hint="eastAsia" w:ascii="仿宋" w:hAnsi="仿宋" w:eastAsia="仿宋" w:cs="仿宋"/>
          <w:sz w:val="21"/>
          <w:szCs w:val="21"/>
          <w:highlight w:val="none"/>
        </w:rPr>
        <w:t>(2)具有良好的商业信誉和健全的财务会计制度；</w:t>
      </w:r>
    </w:p>
    <w:p>
      <w:pPr>
        <w:bidi w:val="0"/>
        <w:ind w:left="420" w:leftChars="0"/>
        <w:rPr>
          <w:rFonts w:hint="eastAsia" w:ascii="仿宋" w:hAnsi="仿宋" w:eastAsia="仿宋" w:cs="仿宋"/>
          <w:sz w:val="21"/>
          <w:szCs w:val="21"/>
          <w:highlight w:val="none"/>
        </w:rPr>
      </w:pPr>
      <w:r>
        <w:rPr>
          <w:rFonts w:hint="eastAsia" w:ascii="仿宋" w:hAnsi="仿宋" w:eastAsia="仿宋" w:cs="仿宋"/>
          <w:sz w:val="21"/>
          <w:szCs w:val="21"/>
          <w:highlight w:val="none"/>
        </w:rPr>
        <w:t>(3)具有履行合同所必需的设备和专业技术能力；</w:t>
      </w:r>
    </w:p>
    <w:p>
      <w:pPr>
        <w:bidi w:val="0"/>
        <w:ind w:left="420" w:leftChars="0"/>
        <w:rPr>
          <w:rFonts w:hint="eastAsia" w:ascii="仿宋" w:hAnsi="仿宋" w:eastAsia="仿宋" w:cs="仿宋"/>
          <w:sz w:val="21"/>
          <w:szCs w:val="21"/>
          <w:highlight w:val="none"/>
        </w:rPr>
      </w:pPr>
      <w:r>
        <w:rPr>
          <w:rFonts w:hint="eastAsia" w:ascii="仿宋" w:hAnsi="仿宋" w:eastAsia="仿宋" w:cs="仿宋"/>
          <w:sz w:val="21"/>
          <w:szCs w:val="21"/>
          <w:highlight w:val="none"/>
        </w:rPr>
        <w:t>(4)有依法缴纳税收和社会保障资金的良好记录；</w:t>
      </w:r>
    </w:p>
    <w:p>
      <w:pPr>
        <w:bidi w:val="0"/>
        <w:ind w:left="420" w:leftChars="0"/>
        <w:rPr>
          <w:rFonts w:hint="eastAsia" w:ascii="仿宋" w:hAnsi="仿宋" w:eastAsia="仿宋" w:cs="仿宋"/>
          <w:sz w:val="21"/>
          <w:szCs w:val="21"/>
          <w:highlight w:val="none"/>
        </w:rPr>
      </w:pPr>
      <w:r>
        <w:rPr>
          <w:rFonts w:hint="eastAsia" w:ascii="仿宋" w:hAnsi="仿宋" w:eastAsia="仿宋" w:cs="仿宋"/>
          <w:sz w:val="21"/>
          <w:szCs w:val="21"/>
          <w:highlight w:val="none"/>
        </w:rPr>
        <w:t>(5)参加政府采购活动前三年内，在经营活动中没有重大违法记录；</w:t>
      </w:r>
    </w:p>
    <w:p>
      <w:pPr>
        <w:bidi w:val="0"/>
        <w:ind w:left="420" w:leftChars="0"/>
        <w:rPr>
          <w:rFonts w:hint="eastAsia" w:ascii="仿宋" w:hAnsi="仿宋" w:eastAsia="仿宋" w:cs="仿宋"/>
          <w:sz w:val="21"/>
          <w:szCs w:val="21"/>
          <w:highlight w:val="none"/>
        </w:rPr>
      </w:pPr>
      <w:r>
        <w:rPr>
          <w:rFonts w:hint="eastAsia" w:ascii="仿宋" w:hAnsi="仿宋" w:eastAsia="仿宋" w:cs="仿宋"/>
          <w:sz w:val="21"/>
          <w:szCs w:val="21"/>
          <w:highlight w:val="none"/>
        </w:rPr>
        <w:t>(6)法律、行政法规规定的其他条件。</w:t>
      </w:r>
    </w:p>
    <w:p>
      <w:pPr>
        <w:bidi w:val="0"/>
        <w:rPr>
          <w:rFonts w:hint="eastAsia" w:ascii="仿宋" w:hAnsi="仿宋" w:eastAsia="仿宋" w:cs="仿宋"/>
          <w:sz w:val="21"/>
          <w:szCs w:val="21"/>
          <w:highlight w:val="none"/>
        </w:rPr>
      </w:pPr>
      <w:r>
        <w:rPr>
          <w:rFonts w:hint="eastAsia" w:ascii="仿宋" w:hAnsi="仿宋" w:eastAsia="仿宋" w:cs="仿宋"/>
          <w:sz w:val="21"/>
          <w:szCs w:val="21"/>
          <w:highlight w:val="none"/>
        </w:rPr>
        <w:t>2、落实政府采购政策需满足的资格要求：</w:t>
      </w:r>
    </w:p>
    <w:p>
      <w:pPr>
        <w:bidi w:val="0"/>
        <w:ind w:left="420" w:left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w:t>
      </w:r>
      <w:r>
        <w:rPr>
          <w:rFonts w:hint="eastAsia" w:cs="仿宋"/>
          <w:sz w:val="21"/>
          <w:szCs w:val="21"/>
          <w:highlight w:val="none"/>
          <w:lang w:val="en-US" w:eastAsia="zh-CN"/>
        </w:rPr>
        <w:t>本项目非专门面向中小企业采购</w:t>
      </w:r>
      <w:r>
        <w:rPr>
          <w:rFonts w:hint="eastAsia" w:ascii="仿宋" w:hAnsi="仿宋" w:eastAsia="仿宋" w:cs="仿宋"/>
          <w:sz w:val="21"/>
          <w:szCs w:val="21"/>
          <w:highlight w:val="none"/>
          <w:lang w:val="en-US" w:eastAsia="zh-CN"/>
        </w:rPr>
        <w:t>，采购标的对应的中小企业划分标准所属行业为“</w:t>
      </w:r>
      <w:r>
        <w:rPr>
          <w:rFonts w:hint="eastAsia" w:cs="仿宋"/>
          <w:sz w:val="21"/>
          <w:szCs w:val="21"/>
          <w:highlight w:val="none"/>
          <w:lang w:val="en-US" w:eastAsia="zh-CN"/>
        </w:rPr>
        <w:t>其他未列明行业</w:t>
      </w:r>
      <w:r>
        <w:rPr>
          <w:rFonts w:hint="eastAsia" w:ascii="仿宋" w:hAnsi="仿宋" w:eastAsia="仿宋" w:cs="仿宋"/>
          <w:sz w:val="21"/>
          <w:szCs w:val="21"/>
          <w:highlight w:val="none"/>
          <w:lang w:val="en-US" w:eastAsia="zh-CN"/>
        </w:rPr>
        <w:t>”。行业划分标准按《国民经济行业分类》执行。中小企业划分标准按《中小企业划型标准规定》（工信部联企业[2011]300号）文件规定执行；</w:t>
      </w:r>
    </w:p>
    <w:p>
      <w:pPr>
        <w:bidi w:val="0"/>
        <w:ind w:left="420" w:left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（2）《政府采购促进中小企业发展管理办法》（财库[2020]46号） ；</w:t>
      </w:r>
    </w:p>
    <w:p>
      <w:pPr>
        <w:bidi w:val="0"/>
        <w:ind w:left="420" w:left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（3）《关于政府采购支持监狱企业发展有关问题的通知》（财库〔2014〕68 号）</w:t>
      </w:r>
      <w:r>
        <w:rPr>
          <w:rFonts w:hint="eastAsia" w:cs="仿宋"/>
          <w:sz w:val="21"/>
          <w:szCs w:val="21"/>
          <w:highlight w:val="none"/>
          <w:lang w:val="en-US" w:eastAsia="zh-CN"/>
        </w:rPr>
        <w:t>；</w:t>
      </w:r>
    </w:p>
    <w:p>
      <w:pPr>
        <w:bidi w:val="0"/>
        <w:ind w:left="420" w:left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（4）《关于促进残疾人就业政府采购政策的通知》（财库〔2017〕141 号）</w:t>
      </w:r>
      <w:r>
        <w:rPr>
          <w:rFonts w:hint="eastAsia" w:cs="仿宋"/>
          <w:sz w:val="21"/>
          <w:szCs w:val="21"/>
          <w:highlight w:val="none"/>
          <w:lang w:val="en-US" w:eastAsia="zh-CN"/>
        </w:rPr>
        <w:t>；</w:t>
      </w:r>
    </w:p>
    <w:p>
      <w:pPr>
        <w:bidi w:val="0"/>
        <w:ind w:left="420" w:left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（5）《关于环境标志产品政府采购实施的意见》（财库〔2006〕90 号）</w:t>
      </w:r>
      <w:r>
        <w:rPr>
          <w:rFonts w:hint="eastAsia" w:cs="仿宋"/>
          <w:sz w:val="21"/>
          <w:szCs w:val="21"/>
          <w:highlight w:val="none"/>
          <w:lang w:val="en-US" w:eastAsia="zh-CN"/>
        </w:rPr>
        <w:t>；</w:t>
      </w:r>
    </w:p>
    <w:p>
      <w:pPr>
        <w:bidi w:val="0"/>
        <w:ind w:left="420" w:left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（6）《节能产品政府采购实施意见》的通知（财库〔2004〕185 号）</w:t>
      </w:r>
      <w:r>
        <w:rPr>
          <w:rFonts w:hint="eastAsia" w:cs="仿宋"/>
          <w:sz w:val="21"/>
          <w:szCs w:val="21"/>
          <w:highlight w:val="none"/>
          <w:lang w:val="en-US" w:eastAsia="zh-CN"/>
        </w:rPr>
        <w:t>；</w:t>
      </w:r>
    </w:p>
    <w:p>
      <w:pPr>
        <w:bidi w:val="0"/>
        <w:ind w:left="420" w:leftChars="0"/>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（7）《关于调整优化节能产品、环境标志产品政府采购执行机制的通知》（财库〔2019〕9号）等。</w:t>
      </w:r>
    </w:p>
    <w:p>
      <w:pPr>
        <w:bidi w:val="0"/>
        <w:rPr>
          <w:rFonts w:hint="eastAsia" w:ascii="仿宋" w:hAnsi="仿宋" w:eastAsia="仿宋" w:cs="仿宋"/>
          <w:sz w:val="21"/>
          <w:szCs w:val="21"/>
          <w:highlight w:val="none"/>
        </w:rPr>
      </w:pPr>
      <w:r>
        <w:rPr>
          <w:rFonts w:hint="eastAsia" w:ascii="仿宋" w:hAnsi="仿宋" w:eastAsia="仿宋" w:cs="仿宋"/>
          <w:sz w:val="21"/>
          <w:szCs w:val="21"/>
          <w:highlight w:val="none"/>
        </w:rPr>
        <w:t>3、本项目的特定资格要求： </w:t>
      </w:r>
    </w:p>
    <w:p>
      <w:pPr>
        <w:numPr>
          <w:ilvl w:val="0"/>
          <w:numId w:val="5"/>
        </w:numPr>
        <w:bidi w:val="0"/>
        <w:ind w:left="845" w:leftChars="0" w:hanging="425"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投标人须是在中国境内注册具有独立承担民事责任能力的独立法人或其他组织形式，具备有效的营业执照；</w:t>
      </w:r>
    </w:p>
    <w:p>
      <w:pPr>
        <w:numPr>
          <w:ilvl w:val="0"/>
          <w:numId w:val="5"/>
        </w:numPr>
        <w:bidi w:val="0"/>
        <w:ind w:left="845" w:leftChars="0" w:hanging="425"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财务要求：应出具近三年（202</w:t>
      </w:r>
      <w:r>
        <w:rPr>
          <w:rFonts w:hint="eastAsia" w:cs="仿宋"/>
          <w:sz w:val="21"/>
          <w:szCs w:val="21"/>
          <w:highlight w:val="none"/>
          <w:lang w:val="en-US" w:eastAsia="zh-CN"/>
        </w:rPr>
        <w:t>2</w:t>
      </w:r>
      <w:r>
        <w:rPr>
          <w:rFonts w:hint="eastAsia" w:ascii="仿宋" w:hAnsi="仿宋" w:eastAsia="仿宋" w:cs="仿宋"/>
          <w:sz w:val="21"/>
          <w:szCs w:val="21"/>
          <w:highlight w:val="none"/>
        </w:rPr>
        <w:t>年至</w:t>
      </w:r>
      <w:r>
        <w:rPr>
          <w:rFonts w:hint="eastAsia" w:cs="仿宋"/>
          <w:sz w:val="21"/>
          <w:szCs w:val="21"/>
          <w:highlight w:val="none"/>
          <w:lang w:val="en-US" w:eastAsia="zh-CN"/>
        </w:rPr>
        <w:t>2024年</w:t>
      </w:r>
      <w:r>
        <w:rPr>
          <w:rFonts w:hint="eastAsia" w:ascii="仿宋" w:hAnsi="仿宋" w:eastAsia="仿宋" w:cs="仿宋"/>
          <w:sz w:val="21"/>
          <w:szCs w:val="21"/>
          <w:highlight w:val="none"/>
        </w:rPr>
        <w:t>）经会计师事务所审计的财务</w:t>
      </w:r>
      <w:r>
        <w:rPr>
          <w:rFonts w:hint="eastAsia" w:cs="仿宋"/>
          <w:sz w:val="21"/>
          <w:szCs w:val="21"/>
          <w:highlight w:val="none"/>
          <w:lang w:eastAsia="zh-CN"/>
        </w:rPr>
        <w:t>审计报告或财务报表</w:t>
      </w:r>
      <w:r>
        <w:rPr>
          <w:rFonts w:hint="eastAsia" w:ascii="仿宋" w:hAnsi="仿宋" w:eastAsia="仿宋" w:cs="仿宋"/>
          <w:sz w:val="21"/>
          <w:szCs w:val="21"/>
          <w:highlight w:val="none"/>
        </w:rPr>
        <w:t>（投标人的成立时间少于规定年份的，应提供成立以来至202</w:t>
      </w:r>
      <w:r>
        <w:rPr>
          <w:rFonts w:hint="eastAsia" w:cs="仿宋"/>
          <w:sz w:val="21"/>
          <w:szCs w:val="21"/>
          <w:highlight w:val="none"/>
          <w:lang w:val="en-US" w:eastAsia="zh-CN"/>
        </w:rPr>
        <w:t>4</w:t>
      </w:r>
      <w:r>
        <w:rPr>
          <w:rFonts w:hint="eastAsia" w:ascii="仿宋" w:hAnsi="仿宋" w:eastAsia="仿宋" w:cs="仿宋"/>
          <w:sz w:val="21"/>
          <w:szCs w:val="21"/>
          <w:highlight w:val="none"/>
        </w:rPr>
        <w:t>年的财务</w:t>
      </w:r>
      <w:r>
        <w:rPr>
          <w:rFonts w:hint="eastAsia" w:cs="仿宋"/>
          <w:sz w:val="21"/>
          <w:szCs w:val="21"/>
          <w:highlight w:val="none"/>
          <w:lang w:eastAsia="zh-CN"/>
        </w:rPr>
        <w:t>审计报告或财务报表</w:t>
      </w:r>
      <w:r>
        <w:rPr>
          <w:rFonts w:hint="eastAsia" w:ascii="仿宋" w:hAnsi="仿宋" w:eastAsia="仿宋" w:cs="仿宋"/>
          <w:sz w:val="21"/>
          <w:szCs w:val="21"/>
          <w:highlight w:val="none"/>
        </w:rPr>
        <w:t>；202</w:t>
      </w:r>
      <w:r>
        <w:rPr>
          <w:rFonts w:hint="eastAsia" w:cs="仿宋"/>
          <w:sz w:val="21"/>
          <w:szCs w:val="21"/>
          <w:highlight w:val="none"/>
          <w:lang w:val="en-US" w:eastAsia="zh-CN"/>
        </w:rPr>
        <w:t>5</w:t>
      </w:r>
      <w:r>
        <w:rPr>
          <w:rFonts w:hint="eastAsia" w:ascii="仿宋" w:hAnsi="仿宋" w:eastAsia="仿宋" w:cs="仿宋"/>
          <w:sz w:val="21"/>
          <w:szCs w:val="21"/>
          <w:highlight w:val="none"/>
        </w:rPr>
        <w:t>年以后新成立企业需提供近三个月内银行出具的公司资信证明）；</w:t>
      </w:r>
    </w:p>
    <w:p>
      <w:pPr>
        <w:numPr>
          <w:ilvl w:val="0"/>
          <w:numId w:val="5"/>
        </w:numPr>
        <w:bidi w:val="0"/>
        <w:ind w:left="845" w:leftChars="0" w:hanging="425"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供应商应提供近六个月中至少一个月的社会缴纳社会保险的凭据（专用收据或社会保险缴纳清单）和良好缴纳税收的相关凭据（以税务机关提供的纳税凭据或银行入账单为准），并加盖本单位公章。依法免税或不需要缴纳社会保障资金的供应商，应提供相应文件证明其依法免税或不需要缴纳社会保障资金；</w:t>
      </w:r>
    </w:p>
    <w:p>
      <w:pPr>
        <w:numPr>
          <w:ilvl w:val="0"/>
          <w:numId w:val="5"/>
        </w:numPr>
        <w:bidi w:val="0"/>
        <w:ind w:left="845" w:leftChars="0" w:hanging="425"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拒绝被列入政府取消投标资格记录期间的企业或个人投标；</w:t>
      </w:r>
    </w:p>
    <w:p>
      <w:pPr>
        <w:numPr>
          <w:ilvl w:val="0"/>
          <w:numId w:val="5"/>
        </w:numPr>
        <w:bidi w:val="0"/>
        <w:ind w:left="845" w:leftChars="0" w:hanging="425"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投标人未被列入“失信被执行人、重大税收违法案件当事人”的记录名单，通过“信用中国”网站（www.creditchina.gov.cn)查询；</w:t>
      </w:r>
    </w:p>
    <w:p>
      <w:pPr>
        <w:numPr>
          <w:ilvl w:val="0"/>
          <w:numId w:val="5"/>
        </w:numPr>
        <w:bidi w:val="0"/>
        <w:ind w:left="845" w:leftChars="0" w:hanging="425"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投标人未被列入“政府采购严重违法失信行为记录名单”，通过“中国政府采购网”（www.ccgp.gov.cn）查询；</w:t>
      </w:r>
    </w:p>
    <w:p>
      <w:pPr>
        <w:numPr>
          <w:ilvl w:val="0"/>
          <w:numId w:val="5"/>
        </w:numPr>
        <w:bidi w:val="0"/>
        <w:ind w:left="845" w:leftChars="0" w:hanging="425"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投标单位和个人（指法定代表人）未在“中国裁判文书网”（wenshu.court.gov.cn）上有行贿犯罪行为；</w:t>
      </w:r>
    </w:p>
    <w:p>
      <w:pPr>
        <w:numPr>
          <w:ilvl w:val="0"/>
          <w:numId w:val="5"/>
        </w:numPr>
        <w:bidi w:val="0"/>
        <w:ind w:left="845" w:leftChars="0" w:hanging="425"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单位负责人为同一人或者存在直接控股、管理关系的不同投标人，不得参加同一合同项目下的政府采购活动，否则，相关投标均无效。</w:t>
      </w:r>
    </w:p>
    <w:p>
      <w:pPr>
        <w:keepNext w:val="0"/>
        <w:keepLines w:val="0"/>
        <w:pageBreakBefore w:val="0"/>
        <w:widowControl/>
        <w:kinsoku/>
        <w:wordWrap/>
        <w:overflowPunct/>
        <w:topLinePunct w:val="0"/>
        <w:autoSpaceDE/>
        <w:autoSpaceDN/>
        <w:bidi w:val="0"/>
        <w:adjustRightInd/>
        <w:snapToGrid/>
        <w:spacing w:before="136" w:beforeLines="50" w:after="136" w:afterLines="50" w:line="240" w:lineRule="auto"/>
        <w:ind w:left="0" w:leftChars="0" w:firstLine="0" w:firstLineChars="0"/>
        <w:textAlignment w:val="auto"/>
        <w:outlineLvl w:val="1"/>
        <w:rPr>
          <w:rFonts w:hint="eastAsia" w:ascii="仿宋" w:hAnsi="仿宋" w:eastAsia="仿宋" w:cs="仿宋"/>
          <w:b/>
          <w:bCs/>
          <w:sz w:val="21"/>
          <w:szCs w:val="21"/>
          <w:highlight w:val="none"/>
          <w:lang w:eastAsia="zh-CN"/>
        </w:rPr>
      </w:pPr>
      <w:r>
        <w:rPr>
          <w:rFonts w:hint="eastAsia" w:ascii="仿宋" w:hAnsi="仿宋" w:eastAsia="仿宋" w:cs="仿宋"/>
          <w:b/>
          <w:bCs/>
          <w:sz w:val="21"/>
          <w:szCs w:val="21"/>
          <w:highlight w:val="none"/>
        </w:rPr>
        <w:t>三、获取</w:t>
      </w:r>
      <w:r>
        <w:rPr>
          <w:rFonts w:hint="eastAsia" w:ascii="仿宋" w:hAnsi="仿宋" w:eastAsia="仿宋" w:cs="仿宋"/>
          <w:b/>
          <w:bCs/>
          <w:sz w:val="21"/>
          <w:szCs w:val="21"/>
          <w:highlight w:val="none"/>
          <w:lang w:eastAsia="zh-CN"/>
        </w:rPr>
        <w:t>招标文件</w:t>
      </w:r>
    </w:p>
    <w:p>
      <w:pPr>
        <w:bidi w:val="0"/>
        <w:ind w:firstLine="420" w:firstLineChars="0"/>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1、时间：202</w:t>
      </w:r>
      <w:r>
        <w:rPr>
          <w:rFonts w:hint="eastAsia" w:cs="仿宋"/>
          <w:sz w:val="21"/>
          <w:szCs w:val="21"/>
          <w:highlight w:val="none"/>
          <w:lang w:val="en-US" w:eastAsia="zh-CN"/>
        </w:rPr>
        <w:t>5</w:t>
      </w:r>
      <w:r>
        <w:rPr>
          <w:rFonts w:hint="eastAsia" w:ascii="仿宋" w:hAnsi="仿宋" w:eastAsia="仿宋" w:cs="仿宋"/>
          <w:sz w:val="21"/>
          <w:szCs w:val="21"/>
          <w:highlight w:val="none"/>
        </w:rPr>
        <w:t>年</w:t>
      </w:r>
      <w:r>
        <w:rPr>
          <w:rFonts w:hint="eastAsia" w:cs="仿宋"/>
          <w:sz w:val="21"/>
          <w:szCs w:val="21"/>
          <w:highlight w:val="none"/>
          <w:lang w:val="en-US" w:eastAsia="zh-CN"/>
        </w:rPr>
        <w:t>06月24日</w:t>
      </w:r>
      <w:r>
        <w:rPr>
          <w:rFonts w:hint="eastAsia" w:ascii="仿宋" w:hAnsi="仿宋" w:eastAsia="仿宋" w:cs="仿宋"/>
          <w:sz w:val="21"/>
          <w:szCs w:val="21"/>
          <w:highlight w:val="none"/>
        </w:rPr>
        <w:t>至202</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年</w:t>
      </w:r>
      <w:r>
        <w:rPr>
          <w:rFonts w:hint="eastAsia" w:cs="仿宋"/>
          <w:sz w:val="21"/>
          <w:szCs w:val="21"/>
          <w:highlight w:val="none"/>
          <w:lang w:val="en-US" w:eastAsia="zh-CN"/>
        </w:rPr>
        <w:t>07月01日</w:t>
      </w:r>
      <w:r>
        <w:rPr>
          <w:rFonts w:hint="eastAsia" w:ascii="仿宋" w:hAnsi="仿宋" w:eastAsia="仿宋" w:cs="仿宋"/>
          <w:sz w:val="21"/>
          <w:szCs w:val="21"/>
          <w:highlight w:val="none"/>
        </w:rPr>
        <w:t>16:00（北京时间，法定节假日除外）</w:t>
      </w:r>
    </w:p>
    <w:p>
      <w:pPr>
        <w:bidi w:val="0"/>
        <w:ind w:firstLine="42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2、地点：政府采购云平台https://www.zcygov.cn/</w:t>
      </w:r>
    </w:p>
    <w:p>
      <w:pPr>
        <w:bidi w:val="0"/>
        <w:ind w:firstLine="42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3、方式：供应商登录政府采购云平台https://www.zcygov.cn/在线申请获取采购文件（进入“项目采购”应用，在获取采购文件菜单中选择项目，申请获取采购文件）</w:t>
      </w:r>
    </w:p>
    <w:p>
      <w:pPr>
        <w:bidi w:val="0"/>
        <w:ind w:firstLine="42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4、售价：0元</w:t>
      </w:r>
    </w:p>
    <w:p>
      <w:pPr>
        <w:keepNext w:val="0"/>
        <w:keepLines w:val="0"/>
        <w:pageBreakBefore w:val="0"/>
        <w:widowControl/>
        <w:kinsoku/>
        <w:wordWrap/>
        <w:overflowPunct/>
        <w:topLinePunct w:val="0"/>
        <w:autoSpaceDE/>
        <w:autoSpaceDN/>
        <w:bidi w:val="0"/>
        <w:adjustRightInd/>
        <w:snapToGrid/>
        <w:spacing w:before="136" w:beforeLines="50" w:after="136" w:afterLines="50" w:line="240" w:lineRule="auto"/>
        <w:ind w:left="0" w:leftChars="0" w:firstLine="0" w:firstLineChars="0"/>
        <w:textAlignment w:val="auto"/>
        <w:outlineLvl w:val="1"/>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四、提交响应文件截止时间、开标时间和地点</w:t>
      </w:r>
    </w:p>
    <w:p>
      <w:pPr>
        <w:bidi w:val="0"/>
        <w:ind w:firstLine="42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1、截止时间（即开标时间）：</w:t>
      </w:r>
      <w:r>
        <w:rPr>
          <w:rFonts w:hint="eastAsia" w:cs="仿宋"/>
          <w:sz w:val="21"/>
          <w:szCs w:val="21"/>
          <w:highlight w:val="none"/>
          <w:lang w:eastAsia="zh-CN"/>
        </w:rPr>
        <w:t>2025年07月15日09时30分（北京时间）</w:t>
      </w:r>
      <w:r>
        <w:rPr>
          <w:rFonts w:hint="eastAsia" w:ascii="仿宋" w:hAnsi="仿宋" w:eastAsia="仿宋" w:cs="仿宋"/>
          <w:sz w:val="21"/>
          <w:szCs w:val="21"/>
          <w:highlight w:val="none"/>
        </w:rPr>
        <w:t>。</w:t>
      </w:r>
    </w:p>
    <w:p>
      <w:pPr>
        <w:bidi w:val="0"/>
        <w:ind w:firstLine="42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2、地点：在线开标</w:t>
      </w:r>
    </w:p>
    <w:p>
      <w:pPr>
        <w:bidi w:val="0"/>
        <w:ind w:firstLine="42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3、开标方式：本项目执行电子化招投标（供应商无需到达现场），供应商须通过政府采购云平台（网址：http:// www.zcygov.cn）递交电子版投标文件</w:t>
      </w:r>
    </w:p>
    <w:p>
      <w:pPr>
        <w:keepNext w:val="0"/>
        <w:keepLines w:val="0"/>
        <w:pageBreakBefore w:val="0"/>
        <w:widowControl/>
        <w:kinsoku/>
        <w:wordWrap/>
        <w:overflowPunct/>
        <w:topLinePunct w:val="0"/>
        <w:autoSpaceDE/>
        <w:autoSpaceDN/>
        <w:bidi w:val="0"/>
        <w:adjustRightInd/>
        <w:snapToGrid/>
        <w:spacing w:before="136" w:beforeLines="50" w:after="136" w:afterLines="50" w:line="240" w:lineRule="auto"/>
        <w:ind w:left="0" w:leftChars="0" w:firstLine="0" w:firstLineChars="0"/>
        <w:textAlignment w:val="auto"/>
        <w:outlineLvl w:val="1"/>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五、公告期限</w:t>
      </w:r>
    </w:p>
    <w:p>
      <w:pPr>
        <w:bidi w:val="0"/>
        <w:ind w:firstLine="42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自本公告发布之日起5个工作日。</w:t>
      </w:r>
    </w:p>
    <w:p>
      <w:pPr>
        <w:keepNext w:val="0"/>
        <w:keepLines w:val="0"/>
        <w:pageBreakBefore w:val="0"/>
        <w:widowControl/>
        <w:kinsoku/>
        <w:wordWrap/>
        <w:overflowPunct/>
        <w:topLinePunct w:val="0"/>
        <w:autoSpaceDE/>
        <w:autoSpaceDN/>
        <w:bidi w:val="0"/>
        <w:adjustRightInd/>
        <w:snapToGrid/>
        <w:spacing w:before="136" w:beforeLines="50" w:after="136" w:afterLines="50" w:line="240" w:lineRule="auto"/>
        <w:ind w:left="0" w:leftChars="0" w:firstLine="0" w:firstLineChars="0"/>
        <w:textAlignment w:val="auto"/>
        <w:outlineLvl w:val="1"/>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六、其他补充事宜</w:t>
      </w:r>
    </w:p>
    <w:p>
      <w:pPr>
        <w:bidi w:val="0"/>
        <w:ind w:firstLine="42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1、供应商在政采云平台注册入库成为正式供应商后，在平台上按《政府采购项目电子交易管理操作指南－供应商》进行投标操作。投标人须办理数字证书方可参加投标。</w:t>
      </w:r>
    </w:p>
    <w:p>
      <w:pPr>
        <w:bidi w:val="0"/>
        <w:ind w:firstLine="42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2、收到CA锁以后在“政采云”登录界面，点击CA登录-CA驱动下载－下载并安装政采云投标客户端和CA驱动，账号绑定CA后才能进行投标文件制作。</w:t>
      </w:r>
    </w:p>
    <w:p>
      <w:pPr>
        <w:bidi w:val="0"/>
        <w:ind w:firstLine="42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3、若对项目采购电子交易系统操作有疑问，可登录“政采云”平台，点击右侧咨询小采，获取采小蜜智能服务管家帮助，或拨打政采云服务热线95763获取帮助。</w:t>
      </w:r>
    </w:p>
    <w:p>
      <w:pPr>
        <w:bidi w:val="0"/>
        <w:ind w:firstLine="42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4、有效投标人不足三家时，招标人另行组织招标。</w:t>
      </w:r>
    </w:p>
    <w:p>
      <w:pPr>
        <w:bidi w:val="0"/>
        <w:ind w:firstLine="42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5、本次采购公告在“政采云”平台(http：//www.zcygov.cn)、中国政府采购网、中国采购与招标网上同时发布。</w:t>
      </w:r>
    </w:p>
    <w:p>
      <w:pPr>
        <w:keepNext w:val="0"/>
        <w:keepLines w:val="0"/>
        <w:pageBreakBefore w:val="0"/>
        <w:widowControl/>
        <w:kinsoku/>
        <w:wordWrap/>
        <w:overflowPunct/>
        <w:topLinePunct w:val="0"/>
        <w:autoSpaceDE/>
        <w:autoSpaceDN/>
        <w:bidi w:val="0"/>
        <w:adjustRightInd/>
        <w:snapToGrid/>
        <w:spacing w:before="136" w:beforeLines="50" w:after="136" w:afterLines="50" w:line="240" w:lineRule="auto"/>
        <w:ind w:left="0" w:leftChars="0" w:firstLine="0" w:firstLineChars="0"/>
        <w:textAlignment w:val="auto"/>
        <w:outlineLvl w:val="1"/>
        <w:rPr>
          <w:rFonts w:hint="eastAsia" w:ascii="仿宋" w:hAnsi="仿宋" w:eastAsia="仿宋" w:cs="仿宋"/>
          <w:b/>
          <w:bCs/>
          <w:sz w:val="21"/>
          <w:szCs w:val="21"/>
          <w:highlight w:val="none"/>
          <w:lang w:val="en-US" w:eastAsia="zh-CN"/>
        </w:rPr>
      </w:pPr>
      <w:r>
        <w:rPr>
          <w:rFonts w:hint="eastAsia" w:cs="仿宋"/>
          <w:b/>
          <w:bCs/>
          <w:sz w:val="21"/>
          <w:szCs w:val="21"/>
          <w:highlight w:val="none"/>
          <w:lang w:val="en-US" w:eastAsia="zh-CN"/>
        </w:rPr>
        <w:t>七</w:t>
      </w:r>
      <w:r>
        <w:rPr>
          <w:rFonts w:hint="eastAsia" w:ascii="仿宋" w:hAnsi="仿宋" w:eastAsia="仿宋" w:cs="仿宋"/>
          <w:b/>
          <w:bCs/>
          <w:sz w:val="21"/>
          <w:szCs w:val="21"/>
          <w:highlight w:val="none"/>
          <w:lang w:val="en-US" w:eastAsia="zh-CN"/>
        </w:rPr>
        <w:t>、对本次招标提出询问，请按以下方式联系</w:t>
      </w:r>
    </w:p>
    <w:p>
      <w:pPr>
        <w:bidi w:val="0"/>
        <w:ind w:firstLine="42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1、采购人信息</w:t>
      </w:r>
    </w:p>
    <w:p>
      <w:pPr>
        <w:bidi w:val="0"/>
        <w:ind w:left="420" w:leftChars="0" w:firstLine="42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名称：</w:t>
      </w:r>
      <w:r>
        <w:rPr>
          <w:rFonts w:hint="eastAsia" w:cs="仿宋"/>
          <w:sz w:val="21"/>
          <w:szCs w:val="21"/>
          <w:highlight w:val="none"/>
          <w:lang w:val="en-US" w:eastAsia="zh-CN"/>
        </w:rPr>
        <w:t>吉林市工业和信息化局</w:t>
      </w:r>
    </w:p>
    <w:p>
      <w:pPr>
        <w:bidi w:val="0"/>
        <w:ind w:left="420" w:leftChars="0" w:firstLine="42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地址：</w:t>
      </w:r>
      <w:r>
        <w:rPr>
          <w:rFonts w:hint="eastAsia" w:cs="仿宋"/>
          <w:sz w:val="21"/>
          <w:szCs w:val="21"/>
          <w:highlight w:val="none"/>
          <w:lang w:val="en-US" w:eastAsia="zh-CN"/>
        </w:rPr>
        <w:t>吉林省吉林市船营区松江中路65号</w:t>
      </w:r>
    </w:p>
    <w:p>
      <w:pPr>
        <w:bidi w:val="0"/>
        <w:ind w:left="420" w:leftChars="0" w:firstLine="42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联系</w:t>
      </w:r>
      <w:r>
        <w:rPr>
          <w:rFonts w:hint="eastAsia" w:cs="仿宋"/>
          <w:sz w:val="21"/>
          <w:szCs w:val="21"/>
          <w:highlight w:val="none"/>
          <w:lang w:val="en-US" w:eastAsia="zh-CN"/>
        </w:rPr>
        <w:t>人</w:t>
      </w:r>
      <w:r>
        <w:rPr>
          <w:rFonts w:hint="eastAsia" w:ascii="仿宋" w:hAnsi="仿宋" w:eastAsia="仿宋" w:cs="仿宋"/>
          <w:sz w:val="21"/>
          <w:szCs w:val="21"/>
          <w:highlight w:val="none"/>
          <w:lang w:val="en-US" w:eastAsia="zh-CN"/>
        </w:rPr>
        <w:t>：</w:t>
      </w:r>
      <w:r>
        <w:rPr>
          <w:rFonts w:hint="eastAsia" w:cs="仿宋"/>
          <w:sz w:val="21"/>
          <w:szCs w:val="21"/>
          <w:highlight w:val="none"/>
          <w:lang w:val="en-US" w:eastAsia="zh-CN"/>
        </w:rPr>
        <w:t>张喜民</w:t>
      </w:r>
      <w:r>
        <w:rPr>
          <w:rFonts w:hint="eastAsia" w:ascii="仿宋" w:hAnsi="仿宋" w:eastAsia="仿宋" w:cs="仿宋"/>
          <w:sz w:val="21"/>
          <w:szCs w:val="21"/>
          <w:highlight w:val="none"/>
          <w:lang w:val="en-US" w:eastAsia="zh-CN"/>
        </w:rPr>
        <w:t xml:space="preserve"> </w:t>
      </w:r>
      <w:r>
        <w:rPr>
          <w:rFonts w:hint="eastAsia" w:cs="仿宋"/>
          <w:sz w:val="21"/>
          <w:szCs w:val="21"/>
          <w:highlight w:val="none"/>
          <w:lang w:val="en-US" w:eastAsia="zh-CN"/>
        </w:rPr>
        <w:t xml:space="preserve">      联系方式：0432-62049710</w:t>
      </w:r>
    </w:p>
    <w:p>
      <w:pPr>
        <w:bidi w:val="0"/>
        <w:ind w:firstLine="42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2、采购代理机构信息</w:t>
      </w:r>
    </w:p>
    <w:p>
      <w:pPr>
        <w:bidi w:val="0"/>
        <w:ind w:left="420" w:leftChars="0" w:firstLine="42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名  称：中屹宬信建设集团有限公司</w:t>
      </w:r>
    </w:p>
    <w:p>
      <w:pPr>
        <w:bidi w:val="0"/>
        <w:ind w:left="420" w:leftChars="0" w:firstLine="42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地  址：吉林省吉林市船营区雾凇中路中凯家博汇37号楼15层</w:t>
      </w:r>
    </w:p>
    <w:p>
      <w:pPr>
        <w:bidi w:val="0"/>
        <w:ind w:left="420" w:leftChars="0" w:firstLine="42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联系人：</w:t>
      </w:r>
      <w:r>
        <w:rPr>
          <w:rFonts w:hint="eastAsia" w:cs="仿宋"/>
          <w:sz w:val="21"/>
          <w:szCs w:val="21"/>
          <w:highlight w:val="none"/>
          <w:lang w:val="en-US" w:eastAsia="zh-CN"/>
        </w:rPr>
        <w:t>岳清莹</w:t>
      </w:r>
      <w:r>
        <w:rPr>
          <w:rFonts w:hint="eastAsia" w:ascii="仿宋" w:hAnsi="仿宋" w:eastAsia="仿宋" w:cs="仿宋"/>
          <w:sz w:val="21"/>
          <w:szCs w:val="21"/>
          <w:highlight w:val="none"/>
          <w:lang w:val="en-US" w:eastAsia="zh-CN"/>
        </w:rPr>
        <w:t xml:space="preserve"> </w:t>
      </w:r>
      <w:r>
        <w:rPr>
          <w:rFonts w:hint="eastAsia" w:cs="仿宋"/>
          <w:sz w:val="21"/>
          <w:szCs w:val="21"/>
          <w:highlight w:val="none"/>
          <w:lang w:val="en-US" w:eastAsia="zh-CN"/>
        </w:rPr>
        <w:t xml:space="preserve">      </w:t>
      </w:r>
      <w:r>
        <w:rPr>
          <w:rFonts w:hint="eastAsia" w:ascii="仿宋" w:hAnsi="仿宋" w:eastAsia="仿宋" w:cs="仿宋"/>
          <w:sz w:val="21"/>
          <w:szCs w:val="21"/>
          <w:highlight w:val="none"/>
          <w:lang w:val="en-US" w:eastAsia="zh-CN"/>
        </w:rPr>
        <w:t>联系方式：0432-</w:t>
      </w:r>
      <w:r>
        <w:rPr>
          <w:rFonts w:hint="eastAsia" w:cs="仿宋"/>
          <w:sz w:val="21"/>
          <w:szCs w:val="21"/>
          <w:highlight w:val="none"/>
          <w:lang w:val="en-US" w:eastAsia="zh-CN"/>
        </w:rPr>
        <w:t>63360157</w:t>
      </w:r>
    </w:p>
    <w:p>
      <w:pPr>
        <w:bidi w:val="0"/>
        <w:ind w:firstLine="42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3、项目联系方式</w:t>
      </w:r>
    </w:p>
    <w:p>
      <w:pPr>
        <w:bidi w:val="0"/>
        <w:ind w:left="420" w:leftChars="0" w:firstLine="42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项目联系人：</w:t>
      </w:r>
      <w:r>
        <w:rPr>
          <w:rFonts w:hint="eastAsia" w:cs="仿宋"/>
          <w:sz w:val="21"/>
          <w:szCs w:val="21"/>
          <w:highlight w:val="none"/>
          <w:lang w:val="en-US" w:eastAsia="zh-CN"/>
        </w:rPr>
        <w:t xml:space="preserve">岳清莹   </w:t>
      </w:r>
      <w:r>
        <w:rPr>
          <w:rFonts w:hint="eastAsia" w:ascii="仿宋" w:hAnsi="仿宋" w:eastAsia="仿宋" w:cs="仿宋"/>
          <w:sz w:val="21"/>
          <w:szCs w:val="21"/>
          <w:highlight w:val="none"/>
          <w:lang w:val="en-US" w:eastAsia="zh-CN"/>
        </w:rPr>
        <w:t>联系方式：0432-</w:t>
      </w:r>
      <w:r>
        <w:rPr>
          <w:rFonts w:hint="eastAsia" w:cs="仿宋"/>
          <w:sz w:val="21"/>
          <w:szCs w:val="21"/>
          <w:highlight w:val="none"/>
          <w:lang w:val="en-US" w:eastAsia="zh-CN"/>
        </w:rPr>
        <w:t>63360157</w:t>
      </w:r>
    </w:p>
    <w:p>
      <w:pPr>
        <w:bidi w:val="0"/>
        <w:ind w:firstLine="42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4、监督部门：吉林市政府采购管理工作办公室</w:t>
      </w:r>
    </w:p>
    <w:p>
      <w:pPr>
        <w:pStyle w:val="2"/>
        <w:bidi w:val="0"/>
        <w:rPr>
          <w:rStyle w:val="47"/>
          <w:rFonts w:hint="eastAsia"/>
          <w:b/>
          <w:bCs/>
          <w:color w:val="auto"/>
          <w:highlight w:val="none"/>
          <w:lang w:val="en-US" w:eastAsia="zh-CN"/>
        </w:rPr>
      </w:pPr>
      <w:r>
        <w:rPr>
          <w:rFonts w:hint="eastAsia" w:ascii="仿宋" w:hAnsi="仿宋" w:eastAsia="仿宋" w:cs="仿宋"/>
          <w:color w:val="auto"/>
          <w:sz w:val="24"/>
          <w:szCs w:val="24"/>
          <w:highlight w:val="none"/>
          <w:shd w:val="clear" w:fill="FFFFFF"/>
          <w:lang w:val="zh-CN" w:eastAsia="zh-CN"/>
        </w:rPr>
        <w:br w:type="page"/>
      </w:r>
      <w:bookmarkStart w:id="20" w:name="_Toc6471"/>
      <w:r>
        <w:rPr>
          <w:rStyle w:val="47"/>
          <w:rFonts w:hint="eastAsia"/>
          <w:b/>
          <w:bCs/>
          <w:color w:val="auto"/>
          <w:highlight w:val="none"/>
          <w:lang w:val="en-US" w:eastAsia="zh-CN"/>
        </w:rPr>
        <w:t>第二章 投标人须知</w:t>
      </w:r>
      <w:bookmarkEnd w:id="20"/>
    </w:p>
    <w:p>
      <w:pPr>
        <w:pStyle w:val="3"/>
        <w:numPr>
          <w:ilvl w:val="0"/>
          <w:numId w:val="0"/>
        </w:numPr>
        <w:ind w:leftChars="0"/>
        <w:jc w:val="center"/>
        <w:rPr>
          <w:rFonts w:hint="eastAsia" w:ascii="仿宋" w:hAnsi="仿宋" w:eastAsia="仿宋" w:cs="仿宋"/>
          <w:b/>
          <w:bCs w:val="0"/>
          <w:color w:val="auto"/>
          <w:highlight w:val="none"/>
        </w:rPr>
      </w:pPr>
      <w:bookmarkStart w:id="21" w:name="_Toc52181462"/>
      <w:bookmarkStart w:id="22" w:name="_Toc2590"/>
      <w:r>
        <w:rPr>
          <w:rFonts w:hint="eastAsia" w:ascii="仿宋" w:hAnsi="仿宋" w:eastAsia="仿宋" w:cs="仿宋"/>
          <w:b/>
          <w:bCs w:val="0"/>
          <w:color w:val="auto"/>
          <w:highlight w:val="none"/>
        </w:rPr>
        <w:t>投标人须知前附表</w:t>
      </w:r>
      <w:bookmarkEnd w:id="12"/>
      <w:bookmarkEnd w:id="13"/>
      <w:bookmarkEnd w:id="14"/>
      <w:bookmarkEnd w:id="15"/>
      <w:bookmarkEnd w:id="16"/>
      <w:bookmarkEnd w:id="17"/>
      <w:bookmarkEnd w:id="18"/>
      <w:bookmarkEnd w:id="19"/>
      <w:bookmarkEnd w:id="21"/>
      <w:bookmarkEnd w:id="22"/>
    </w:p>
    <w:tbl>
      <w:tblPr>
        <w:tblStyle w:val="22"/>
        <w:tblW w:w="8325" w:type="dxa"/>
        <w:tblInd w:w="96" w:type="dxa"/>
        <w:tblLayout w:type="fixed"/>
        <w:tblCellMar>
          <w:top w:w="0" w:type="dxa"/>
          <w:left w:w="108" w:type="dxa"/>
          <w:bottom w:w="0" w:type="dxa"/>
          <w:right w:w="108" w:type="dxa"/>
        </w:tblCellMar>
      </w:tblPr>
      <w:tblGrid>
        <w:gridCol w:w="881"/>
        <w:gridCol w:w="2108"/>
        <w:gridCol w:w="5336"/>
      </w:tblGrid>
      <w:tr>
        <w:tblPrEx>
          <w:tblCellMar>
            <w:top w:w="0" w:type="dxa"/>
            <w:left w:w="108" w:type="dxa"/>
            <w:bottom w:w="0" w:type="dxa"/>
            <w:right w:w="108" w:type="dxa"/>
          </w:tblCellMar>
        </w:tblPrEx>
        <w:trPr>
          <w:trHeight w:val="453" w:hRule="atLeast"/>
        </w:trPr>
        <w:tc>
          <w:tcPr>
            <w:tcW w:w="881"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条款号</w:t>
            </w:r>
          </w:p>
        </w:tc>
        <w:tc>
          <w:tcPr>
            <w:tcW w:w="2108"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条  款  名  称</w:t>
            </w:r>
          </w:p>
        </w:tc>
        <w:tc>
          <w:tcPr>
            <w:tcW w:w="5336"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编  列  内  容</w:t>
            </w:r>
          </w:p>
        </w:tc>
      </w:tr>
      <w:tr>
        <w:tblPrEx>
          <w:tblCellMar>
            <w:top w:w="0" w:type="dxa"/>
            <w:left w:w="108" w:type="dxa"/>
            <w:bottom w:w="0" w:type="dxa"/>
            <w:right w:w="108" w:type="dxa"/>
          </w:tblCellMar>
        </w:tblPrEx>
        <w:trPr>
          <w:trHeight w:val="454" w:hRule="atLeast"/>
        </w:trPr>
        <w:tc>
          <w:tcPr>
            <w:tcW w:w="881"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1.1.2</w:t>
            </w:r>
          </w:p>
        </w:tc>
        <w:tc>
          <w:tcPr>
            <w:tcW w:w="2108"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招标人</w:t>
            </w:r>
          </w:p>
        </w:tc>
        <w:tc>
          <w:tcPr>
            <w:tcW w:w="5336"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名称：</w:t>
            </w:r>
            <w:r>
              <w:rPr>
                <w:rFonts w:hint="eastAsia" w:cs="仿宋"/>
                <w:sz w:val="21"/>
                <w:szCs w:val="21"/>
                <w:highlight w:val="none"/>
                <w:lang w:val="en-US" w:eastAsia="zh-CN"/>
              </w:rPr>
              <w:t>吉林市工业和信息化局</w:t>
            </w:r>
          </w:p>
          <w:p>
            <w:pPr>
              <w:bidi w:val="0"/>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地址：</w:t>
            </w:r>
            <w:r>
              <w:rPr>
                <w:rFonts w:hint="eastAsia" w:cs="仿宋"/>
                <w:sz w:val="21"/>
                <w:szCs w:val="21"/>
                <w:highlight w:val="none"/>
                <w:lang w:val="en-US" w:eastAsia="zh-CN"/>
              </w:rPr>
              <w:t>吉林省吉林市船营区松江中路65号</w:t>
            </w:r>
          </w:p>
          <w:p>
            <w:pPr>
              <w:bidi w:val="0"/>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联系方式：</w:t>
            </w:r>
            <w:r>
              <w:rPr>
                <w:rFonts w:hint="eastAsia" w:cs="仿宋"/>
                <w:sz w:val="21"/>
                <w:szCs w:val="21"/>
                <w:highlight w:val="none"/>
                <w:lang w:val="en-US" w:eastAsia="zh-CN"/>
              </w:rPr>
              <w:t>张喜民</w:t>
            </w:r>
            <w:r>
              <w:rPr>
                <w:rFonts w:hint="eastAsia" w:ascii="仿宋" w:hAnsi="仿宋" w:eastAsia="仿宋" w:cs="仿宋"/>
                <w:sz w:val="21"/>
                <w:szCs w:val="21"/>
                <w:highlight w:val="none"/>
                <w:lang w:val="en-US" w:eastAsia="zh-CN"/>
              </w:rPr>
              <w:t xml:space="preserve"> </w:t>
            </w:r>
            <w:r>
              <w:rPr>
                <w:rFonts w:hint="eastAsia" w:cs="仿宋"/>
                <w:sz w:val="21"/>
                <w:szCs w:val="21"/>
                <w:highlight w:val="none"/>
                <w:lang w:val="en-US" w:eastAsia="zh-CN"/>
              </w:rPr>
              <w:t>0432-62049710</w:t>
            </w:r>
          </w:p>
        </w:tc>
      </w:tr>
      <w:tr>
        <w:tblPrEx>
          <w:tblCellMar>
            <w:top w:w="0" w:type="dxa"/>
            <w:left w:w="108" w:type="dxa"/>
            <w:bottom w:w="0" w:type="dxa"/>
            <w:right w:w="108" w:type="dxa"/>
          </w:tblCellMar>
        </w:tblPrEx>
        <w:trPr>
          <w:trHeight w:val="454" w:hRule="atLeast"/>
        </w:trPr>
        <w:tc>
          <w:tcPr>
            <w:tcW w:w="881"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1.1.3</w:t>
            </w:r>
          </w:p>
        </w:tc>
        <w:tc>
          <w:tcPr>
            <w:tcW w:w="2108"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招标代理机构</w:t>
            </w:r>
          </w:p>
        </w:tc>
        <w:tc>
          <w:tcPr>
            <w:tcW w:w="5336"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名  称：中屹宬信建设集团有限公司</w:t>
            </w:r>
          </w:p>
          <w:p>
            <w:pPr>
              <w:bidi w:val="0"/>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地  址：吉林省吉林市船营区雾凇中路中凯家博汇37号楼15层</w:t>
            </w:r>
          </w:p>
          <w:p>
            <w:pPr>
              <w:bidi w:val="0"/>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联系人：</w:t>
            </w:r>
            <w:r>
              <w:rPr>
                <w:rFonts w:hint="eastAsia" w:cs="仿宋"/>
                <w:sz w:val="21"/>
                <w:szCs w:val="21"/>
                <w:highlight w:val="none"/>
                <w:lang w:val="en-US" w:eastAsia="zh-CN"/>
              </w:rPr>
              <w:t>岳清莹</w:t>
            </w:r>
            <w:r>
              <w:rPr>
                <w:rFonts w:hint="eastAsia" w:ascii="仿宋" w:hAnsi="仿宋" w:eastAsia="仿宋" w:cs="仿宋"/>
                <w:sz w:val="21"/>
                <w:szCs w:val="21"/>
                <w:highlight w:val="none"/>
                <w:lang w:val="en-US" w:eastAsia="zh-CN"/>
              </w:rPr>
              <w:t xml:space="preserve"> </w:t>
            </w:r>
            <w:r>
              <w:rPr>
                <w:rFonts w:hint="eastAsia" w:cs="仿宋"/>
                <w:sz w:val="21"/>
                <w:szCs w:val="21"/>
                <w:highlight w:val="none"/>
                <w:lang w:val="en-US" w:eastAsia="zh-CN"/>
              </w:rPr>
              <w:t xml:space="preserve">   </w:t>
            </w:r>
            <w:r>
              <w:rPr>
                <w:rFonts w:hint="eastAsia" w:ascii="仿宋" w:hAnsi="仿宋" w:eastAsia="仿宋" w:cs="仿宋"/>
                <w:sz w:val="21"/>
                <w:szCs w:val="21"/>
                <w:highlight w:val="none"/>
                <w:lang w:val="en-US" w:eastAsia="zh-CN"/>
              </w:rPr>
              <w:t>联系方式：0432-63360157</w:t>
            </w:r>
          </w:p>
        </w:tc>
      </w:tr>
      <w:tr>
        <w:tblPrEx>
          <w:tblCellMar>
            <w:top w:w="0" w:type="dxa"/>
            <w:left w:w="108" w:type="dxa"/>
            <w:bottom w:w="0" w:type="dxa"/>
            <w:right w:w="108" w:type="dxa"/>
          </w:tblCellMar>
        </w:tblPrEx>
        <w:trPr>
          <w:trHeight w:val="454" w:hRule="atLeast"/>
        </w:trPr>
        <w:tc>
          <w:tcPr>
            <w:tcW w:w="881"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1.1.4</w:t>
            </w:r>
          </w:p>
        </w:tc>
        <w:tc>
          <w:tcPr>
            <w:tcW w:w="2108"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项目名称</w:t>
            </w:r>
          </w:p>
        </w:tc>
        <w:tc>
          <w:tcPr>
            <w:tcW w:w="5336"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rPr>
                <w:rFonts w:hint="eastAsia" w:ascii="仿宋" w:hAnsi="仿宋" w:eastAsia="仿宋" w:cs="仿宋"/>
                <w:sz w:val="21"/>
                <w:szCs w:val="21"/>
                <w:highlight w:val="none"/>
                <w:lang w:eastAsia="zh-CN"/>
              </w:rPr>
            </w:pPr>
            <w:r>
              <w:rPr>
                <w:rFonts w:hint="eastAsia" w:cs="仿宋"/>
                <w:sz w:val="21"/>
                <w:szCs w:val="21"/>
                <w:highlight w:val="none"/>
                <w:lang w:eastAsia="zh-CN"/>
              </w:rPr>
              <w:t>吉林市中小企业数字化转型试点城市评测及验收服务项目</w:t>
            </w:r>
          </w:p>
        </w:tc>
      </w:tr>
      <w:tr>
        <w:tblPrEx>
          <w:tblCellMar>
            <w:top w:w="0" w:type="dxa"/>
            <w:left w:w="108" w:type="dxa"/>
            <w:bottom w:w="0" w:type="dxa"/>
            <w:right w:w="108" w:type="dxa"/>
          </w:tblCellMar>
        </w:tblPrEx>
        <w:trPr>
          <w:trHeight w:val="454" w:hRule="atLeast"/>
        </w:trPr>
        <w:tc>
          <w:tcPr>
            <w:tcW w:w="881"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1.1.5</w:t>
            </w:r>
          </w:p>
        </w:tc>
        <w:tc>
          <w:tcPr>
            <w:tcW w:w="2108"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项目</w:t>
            </w:r>
            <w:r>
              <w:rPr>
                <w:rFonts w:hint="eastAsia" w:ascii="仿宋" w:hAnsi="仿宋" w:eastAsia="仿宋" w:cs="仿宋"/>
                <w:sz w:val="21"/>
                <w:szCs w:val="21"/>
                <w:highlight w:val="none"/>
              </w:rPr>
              <w:t>地点</w:t>
            </w:r>
          </w:p>
        </w:tc>
        <w:tc>
          <w:tcPr>
            <w:tcW w:w="5336"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eastAsia="zh-CN"/>
              </w:rPr>
              <w:t>采购人指定地点</w:t>
            </w:r>
          </w:p>
        </w:tc>
      </w:tr>
      <w:tr>
        <w:tblPrEx>
          <w:tblCellMar>
            <w:top w:w="0" w:type="dxa"/>
            <w:left w:w="108" w:type="dxa"/>
            <w:bottom w:w="0" w:type="dxa"/>
            <w:right w:w="108" w:type="dxa"/>
          </w:tblCellMar>
        </w:tblPrEx>
        <w:trPr>
          <w:trHeight w:val="454" w:hRule="atLeast"/>
        </w:trPr>
        <w:tc>
          <w:tcPr>
            <w:tcW w:w="881"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1.2.1</w:t>
            </w:r>
          </w:p>
        </w:tc>
        <w:tc>
          <w:tcPr>
            <w:tcW w:w="2108"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资金来源及比例</w:t>
            </w:r>
          </w:p>
        </w:tc>
        <w:tc>
          <w:tcPr>
            <w:tcW w:w="5336"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财政资金   100%</w:t>
            </w:r>
          </w:p>
        </w:tc>
      </w:tr>
      <w:tr>
        <w:tblPrEx>
          <w:tblCellMar>
            <w:top w:w="0" w:type="dxa"/>
            <w:left w:w="108" w:type="dxa"/>
            <w:bottom w:w="0" w:type="dxa"/>
            <w:right w:w="108" w:type="dxa"/>
          </w:tblCellMar>
        </w:tblPrEx>
        <w:trPr>
          <w:trHeight w:val="429" w:hRule="atLeast"/>
        </w:trPr>
        <w:tc>
          <w:tcPr>
            <w:tcW w:w="881"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1.2.2</w:t>
            </w:r>
          </w:p>
        </w:tc>
        <w:tc>
          <w:tcPr>
            <w:tcW w:w="2108"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资金落实情况</w:t>
            </w:r>
          </w:p>
        </w:tc>
        <w:tc>
          <w:tcPr>
            <w:tcW w:w="5336"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rPr>
                <w:rFonts w:hint="eastAsia" w:cs="仿宋"/>
                <w:sz w:val="21"/>
                <w:szCs w:val="21"/>
                <w:highlight w:val="none"/>
                <w:lang w:eastAsia="zh-CN"/>
              </w:rPr>
            </w:pPr>
            <w:r>
              <w:rPr>
                <w:rFonts w:hint="eastAsia" w:cs="仿宋"/>
                <w:sz w:val="21"/>
                <w:szCs w:val="21"/>
                <w:highlight w:val="none"/>
                <w:lang w:eastAsia="zh-CN"/>
              </w:rPr>
              <w:t>已落实</w:t>
            </w:r>
          </w:p>
        </w:tc>
      </w:tr>
      <w:tr>
        <w:tblPrEx>
          <w:tblCellMar>
            <w:top w:w="0" w:type="dxa"/>
            <w:left w:w="108" w:type="dxa"/>
            <w:bottom w:w="0" w:type="dxa"/>
            <w:right w:w="108" w:type="dxa"/>
          </w:tblCellMar>
        </w:tblPrEx>
        <w:trPr>
          <w:trHeight w:val="792" w:hRule="atLeast"/>
        </w:trPr>
        <w:tc>
          <w:tcPr>
            <w:tcW w:w="881"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1.3.1</w:t>
            </w:r>
          </w:p>
        </w:tc>
        <w:tc>
          <w:tcPr>
            <w:tcW w:w="2108"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招标范围</w:t>
            </w:r>
          </w:p>
        </w:tc>
        <w:tc>
          <w:tcPr>
            <w:tcW w:w="5336"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rPr>
                <w:rFonts w:hint="eastAsia" w:cs="仿宋"/>
                <w:sz w:val="21"/>
                <w:szCs w:val="21"/>
                <w:highlight w:val="none"/>
                <w:lang w:val="en-US" w:eastAsia="zh-CN"/>
              </w:rPr>
            </w:pPr>
            <w:r>
              <w:rPr>
                <w:rFonts w:hint="eastAsia" w:cs="仿宋"/>
                <w:sz w:val="21"/>
                <w:szCs w:val="21"/>
                <w:highlight w:val="none"/>
                <w:lang w:eastAsia="zh-CN"/>
              </w:rPr>
              <w:t>围绕国家中小企业数字化转型试点城市工作总体要求，拟选取第三方验收测评机构，为吉林市中小企业数字化转型试点城市工作提供支撑，按照工信部发布的最新版《中小企业数字化水平评测指标》，评定企业改造后的数字化水平等级，出具评测等级报告、完成改造成效验收等工作。同时，对试点城市及数字化转型工作中，涉及的优秀服务商遴选、“小快轻准”产品评选、转型标杆企业遴选等相关工作，提供专家评审支持。</w:t>
            </w:r>
            <w:r>
              <w:rPr>
                <w:rFonts w:hint="eastAsia" w:cs="仿宋"/>
                <w:sz w:val="21"/>
                <w:szCs w:val="21"/>
                <w:highlight w:val="none"/>
                <w:lang w:val="en-US" w:eastAsia="zh-CN"/>
              </w:rPr>
              <w:t>（具体详见招标文件）</w:t>
            </w:r>
          </w:p>
        </w:tc>
      </w:tr>
      <w:tr>
        <w:tblPrEx>
          <w:tblCellMar>
            <w:top w:w="0" w:type="dxa"/>
            <w:left w:w="108" w:type="dxa"/>
            <w:bottom w:w="0" w:type="dxa"/>
            <w:right w:w="108" w:type="dxa"/>
          </w:tblCellMar>
        </w:tblPrEx>
        <w:trPr>
          <w:trHeight w:val="454" w:hRule="atLeast"/>
        </w:trPr>
        <w:tc>
          <w:tcPr>
            <w:tcW w:w="881"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1.3.2</w:t>
            </w:r>
          </w:p>
        </w:tc>
        <w:tc>
          <w:tcPr>
            <w:tcW w:w="2108"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cs="仿宋"/>
                <w:sz w:val="21"/>
                <w:szCs w:val="21"/>
                <w:highlight w:val="none"/>
                <w:lang w:val="en-US" w:eastAsia="zh-CN"/>
              </w:rPr>
              <w:t>服务期</w:t>
            </w:r>
          </w:p>
        </w:tc>
        <w:tc>
          <w:tcPr>
            <w:tcW w:w="5336"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rPr>
                <w:rFonts w:hint="eastAsia" w:ascii="仿宋" w:hAnsi="仿宋" w:eastAsia="仿宋" w:cs="仿宋"/>
                <w:sz w:val="21"/>
                <w:szCs w:val="21"/>
                <w:highlight w:val="none"/>
                <w:lang w:val="en-US" w:eastAsia="zh-CN"/>
              </w:rPr>
            </w:pPr>
            <w:r>
              <w:rPr>
                <w:rFonts w:hint="eastAsia" w:cs="仿宋"/>
                <w:sz w:val="21"/>
                <w:szCs w:val="21"/>
                <w:highlight w:val="none"/>
                <w:lang w:val="en-US" w:eastAsia="zh-CN"/>
              </w:rPr>
              <w:t>签订合同之日起至2026年12月31日</w:t>
            </w:r>
          </w:p>
        </w:tc>
      </w:tr>
      <w:tr>
        <w:tblPrEx>
          <w:tblCellMar>
            <w:top w:w="0" w:type="dxa"/>
            <w:left w:w="108" w:type="dxa"/>
            <w:bottom w:w="0" w:type="dxa"/>
            <w:right w:w="108" w:type="dxa"/>
          </w:tblCellMar>
        </w:tblPrEx>
        <w:trPr>
          <w:trHeight w:val="454" w:hRule="atLeast"/>
        </w:trPr>
        <w:tc>
          <w:tcPr>
            <w:tcW w:w="881"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1.3.3</w:t>
            </w:r>
          </w:p>
        </w:tc>
        <w:tc>
          <w:tcPr>
            <w:tcW w:w="2108"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质量要求</w:t>
            </w:r>
          </w:p>
        </w:tc>
        <w:tc>
          <w:tcPr>
            <w:tcW w:w="5336"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rPr>
                <w:rFonts w:hint="eastAsia" w:ascii="仿宋" w:hAnsi="仿宋" w:eastAsia="仿宋" w:cs="仿宋"/>
                <w:sz w:val="21"/>
                <w:szCs w:val="21"/>
                <w:highlight w:val="none"/>
                <w:lang w:val="en-US" w:eastAsia="zh-CN"/>
              </w:rPr>
            </w:pPr>
            <w:r>
              <w:rPr>
                <w:rFonts w:hint="eastAsia" w:cs="仿宋"/>
                <w:sz w:val="21"/>
                <w:szCs w:val="21"/>
                <w:highlight w:val="none"/>
                <w:lang w:eastAsia="zh-CN"/>
              </w:rPr>
              <w:t>符合国家、行业现行相关标准及采购人合理要求的合格服务</w:t>
            </w:r>
          </w:p>
        </w:tc>
      </w:tr>
      <w:tr>
        <w:tblPrEx>
          <w:tblCellMar>
            <w:top w:w="0" w:type="dxa"/>
            <w:left w:w="108" w:type="dxa"/>
            <w:bottom w:w="0" w:type="dxa"/>
            <w:right w:w="108" w:type="dxa"/>
          </w:tblCellMar>
        </w:tblPrEx>
        <w:trPr>
          <w:trHeight w:val="454" w:hRule="atLeast"/>
        </w:trPr>
        <w:tc>
          <w:tcPr>
            <w:tcW w:w="881"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1.4.1</w:t>
            </w:r>
          </w:p>
        </w:tc>
        <w:tc>
          <w:tcPr>
            <w:tcW w:w="2108"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投标人资质条件、能力</w:t>
            </w:r>
          </w:p>
        </w:tc>
        <w:tc>
          <w:tcPr>
            <w:tcW w:w="5336"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(1)投标人须是在中国境内注册具有独立承担民事责任能力的独立法人或其他组织形式，具备有效的营业执照；</w:t>
            </w:r>
          </w:p>
          <w:p>
            <w:pPr>
              <w:bidi w:val="0"/>
              <w:spacing w:line="240" w:lineRule="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(2)财务要求：应出具近三年（20</w:t>
            </w:r>
            <w:r>
              <w:rPr>
                <w:rFonts w:hint="eastAsia" w:cs="仿宋"/>
                <w:sz w:val="21"/>
                <w:szCs w:val="21"/>
                <w:highlight w:val="none"/>
                <w:lang w:val="en-US" w:eastAsia="zh-CN"/>
              </w:rPr>
              <w:t>22</w:t>
            </w:r>
            <w:r>
              <w:rPr>
                <w:rFonts w:hint="eastAsia" w:ascii="仿宋" w:hAnsi="仿宋" w:eastAsia="仿宋" w:cs="仿宋"/>
                <w:sz w:val="21"/>
                <w:szCs w:val="21"/>
                <w:highlight w:val="none"/>
                <w:lang w:eastAsia="zh-CN"/>
              </w:rPr>
              <w:t>年至</w:t>
            </w:r>
            <w:r>
              <w:rPr>
                <w:rFonts w:hint="eastAsia" w:cs="仿宋"/>
                <w:sz w:val="21"/>
                <w:szCs w:val="21"/>
                <w:highlight w:val="none"/>
                <w:lang w:val="en-US" w:eastAsia="zh-CN"/>
              </w:rPr>
              <w:t>2024年</w:t>
            </w:r>
            <w:r>
              <w:rPr>
                <w:rFonts w:hint="eastAsia" w:ascii="仿宋" w:hAnsi="仿宋" w:eastAsia="仿宋" w:cs="仿宋"/>
                <w:sz w:val="21"/>
                <w:szCs w:val="21"/>
                <w:highlight w:val="none"/>
                <w:lang w:eastAsia="zh-CN"/>
              </w:rPr>
              <w:t>）经会计师事务所审计的财务</w:t>
            </w:r>
            <w:r>
              <w:rPr>
                <w:rFonts w:hint="eastAsia" w:cs="仿宋"/>
                <w:sz w:val="21"/>
                <w:szCs w:val="21"/>
                <w:highlight w:val="none"/>
                <w:lang w:eastAsia="zh-CN"/>
              </w:rPr>
              <w:t>审计报告或财务报表</w:t>
            </w:r>
            <w:r>
              <w:rPr>
                <w:rFonts w:hint="eastAsia" w:ascii="仿宋" w:hAnsi="仿宋" w:eastAsia="仿宋" w:cs="仿宋"/>
                <w:sz w:val="21"/>
                <w:szCs w:val="21"/>
                <w:highlight w:val="none"/>
                <w:lang w:eastAsia="zh-CN"/>
              </w:rPr>
              <w:t>（投标人的成立时间少于规定年份的，应提供成立以来至202</w:t>
            </w:r>
            <w:r>
              <w:rPr>
                <w:rFonts w:hint="eastAsia" w:cs="仿宋"/>
                <w:sz w:val="21"/>
                <w:szCs w:val="21"/>
                <w:highlight w:val="none"/>
                <w:lang w:val="en-US" w:eastAsia="zh-CN"/>
              </w:rPr>
              <w:t>4</w:t>
            </w:r>
            <w:r>
              <w:rPr>
                <w:rFonts w:hint="eastAsia" w:ascii="仿宋" w:hAnsi="仿宋" w:eastAsia="仿宋" w:cs="仿宋"/>
                <w:sz w:val="21"/>
                <w:szCs w:val="21"/>
                <w:highlight w:val="none"/>
                <w:lang w:eastAsia="zh-CN"/>
              </w:rPr>
              <w:t>年的财务</w:t>
            </w:r>
            <w:r>
              <w:rPr>
                <w:rFonts w:hint="eastAsia" w:cs="仿宋"/>
                <w:sz w:val="21"/>
                <w:szCs w:val="21"/>
                <w:highlight w:val="none"/>
                <w:lang w:eastAsia="zh-CN"/>
              </w:rPr>
              <w:t>审计报告或财务报表</w:t>
            </w:r>
            <w:r>
              <w:rPr>
                <w:rFonts w:hint="eastAsia" w:ascii="仿宋" w:hAnsi="仿宋" w:eastAsia="仿宋" w:cs="仿宋"/>
                <w:sz w:val="21"/>
                <w:szCs w:val="21"/>
                <w:highlight w:val="none"/>
                <w:lang w:eastAsia="zh-CN"/>
              </w:rPr>
              <w:t>；202</w:t>
            </w:r>
            <w:r>
              <w:rPr>
                <w:rFonts w:hint="eastAsia" w:cs="仿宋"/>
                <w:sz w:val="21"/>
                <w:szCs w:val="21"/>
                <w:highlight w:val="none"/>
                <w:lang w:val="en-US" w:eastAsia="zh-CN"/>
              </w:rPr>
              <w:t>5</w:t>
            </w:r>
            <w:r>
              <w:rPr>
                <w:rFonts w:hint="eastAsia" w:ascii="仿宋" w:hAnsi="仿宋" w:eastAsia="仿宋" w:cs="仿宋"/>
                <w:sz w:val="21"/>
                <w:szCs w:val="21"/>
                <w:highlight w:val="none"/>
                <w:lang w:eastAsia="zh-CN"/>
              </w:rPr>
              <w:t>年以后新成立企业需提供近三个月内银行出具的公司资信证明）；</w:t>
            </w:r>
          </w:p>
          <w:p>
            <w:pPr>
              <w:bidi w:val="0"/>
              <w:spacing w:line="240" w:lineRule="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(3)供应商应提供近六个月中至少一个月的社会缴纳社会保险的凭据（专用收据或社会保险缴纳清单）和良好缴纳税收的相关凭据（以税务机关提供的纳税凭据或银行入账单为准），并加盖本单位公章。依法免税或不需要缴纳社会保障资金的供应商，应提供相应文件证明其依法免税或不需要缴纳社会保障资金；</w:t>
            </w:r>
          </w:p>
          <w:p>
            <w:pPr>
              <w:bidi w:val="0"/>
              <w:spacing w:line="240" w:lineRule="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(4)拒绝被列入政府取消投标资格记录期间的企业或个人投标；</w:t>
            </w:r>
          </w:p>
          <w:p>
            <w:pPr>
              <w:bidi w:val="0"/>
              <w:spacing w:line="240" w:lineRule="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(5)投标人未被列入“失信被执行人、重大税收违法案件当事人”的记录名单，通过“信用中国”网站（www.creditchina.gov.cn)查询；</w:t>
            </w:r>
          </w:p>
          <w:p>
            <w:pPr>
              <w:bidi w:val="0"/>
              <w:spacing w:line="240" w:lineRule="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(6)投标人未被列入“政府采购严重违法失信行为记录名单”，通过“中国政府采购网”（www.ccgp.gov.cn）查询；</w:t>
            </w:r>
          </w:p>
          <w:p>
            <w:pPr>
              <w:bidi w:val="0"/>
              <w:spacing w:line="240" w:lineRule="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(7)投标单位和个人（指法定代表人）未在“中国裁判文书网”（wenshu.court.gov.cn）上有行贿犯罪行为；</w:t>
            </w:r>
          </w:p>
          <w:p>
            <w:pPr>
              <w:bidi w:val="0"/>
              <w:spacing w:line="240" w:lineRule="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(8)单位负责人为同一人或者存在直接控股、管理关系的不同投标人，不得参加同一合同项目下的政府采购活动，否则，相关投标均无效。</w:t>
            </w:r>
          </w:p>
        </w:tc>
      </w:tr>
      <w:tr>
        <w:tblPrEx>
          <w:tblCellMar>
            <w:top w:w="0" w:type="dxa"/>
            <w:left w:w="108" w:type="dxa"/>
            <w:bottom w:w="0" w:type="dxa"/>
            <w:right w:w="108" w:type="dxa"/>
          </w:tblCellMar>
        </w:tblPrEx>
        <w:trPr>
          <w:trHeight w:val="454" w:hRule="atLeast"/>
        </w:trPr>
        <w:tc>
          <w:tcPr>
            <w:tcW w:w="881"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1.4.2</w:t>
            </w:r>
          </w:p>
        </w:tc>
        <w:tc>
          <w:tcPr>
            <w:tcW w:w="2108"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是否接受联合体投标</w:t>
            </w:r>
          </w:p>
        </w:tc>
        <w:tc>
          <w:tcPr>
            <w:tcW w:w="5336"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接受</w:t>
            </w:r>
            <w:r>
              <w:rPr>
                <w:rFonts w:hint="eastAsia" w:cs="仿宋"/>
                <w:sz w:val="21"/>
                <w:szCs w:val="21"/>
                <w:highlight w:val="none"/>
                <w:lang w:eastAsia="zh-CN"/>
              </w:rPr>
              <w:t>，</w:t>
            </w:r>
          </w:p>
        </w:tc>
      </w:tr>
      <w:tr>
        <w:tblPrEx>
          <w:tblCellMar>
            <w:top w:w="0" w:type="dxa"/>
            <w:left w:w="108" w:type="dxa"/>
            <w:bottom w:w="0" w:type="dxa"/>
            <w:right w:w="108" w:type="dxa"/>
          </w:tblCellMar>
        </w:tblPrEx>
        <w:trPr>
          <w:trHeight w:val="454" w:hRule="atLeast"/>
        </w:trPr>
        <w:tc>
          <w:tcPr>
            <w:tcW w:w="881"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1.10.2</w:t>
            </w:r>
          </w:p>
        </w:tc>
        <w:tc>
          <w:tcPr>
            <w:tcW w:w="2108"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投标人提出问题的截止时间</w:t>
            </w:r>
          </w:p>
        </w:tc>
        <w:tc>
          <w:tcPr>
            <w:tcW w:w="5336"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fldChar w:fldCharType="begin"/>
            </w:r>
            <w:r>
              <w:rPr>
                <w:rFonts w:hint="eastAsia" w:ascii="仿宋" w:hAnsi="仿宋" w:eastAsia="仿宋" w:cs="仿宋"/>
                <w:sz w:val="21"/>
                <w:szCs w:val="21"/>
                <w:highlight w:val="none"/>
                <w:lang w:eastAsia="zh-CN"/>
              </w:rPr>
              <w:instrText xml:space="preserve"> HYPERLINK "mailto:投标人应在开标15日前将疑问电子版文件传至采购代理机构邮箱（125529446@qq.com）" </w:instrText>
            </w:r>
            <w:r>
              <w:rPr>
                <w:rFonts w:hint="eastAsia" w:ascii="仿宋" w:hAnsi="仿宋" w:eastAsia="仿宋" w:cs="仿宋"/>
                <w:sz w:val="21"/>
                <w:szCs w:val="21"/>
                <w:highlight w:val="none"/>
                <w:lang w:eastAsia="zh-CN"/>
              </w:rPr>
              <w:fldChar w:fldCharType="separate"/>
            </w:r>
            <w:r>
              <w:rPr>
                <w:rStyle w:val="33"/>
                <w:rFonts w:hint="eastAsia" w:ascii="仿宋" w:hAnsi="仿宋" w:eastAsia="仿宋" w:cs="仿宋"/>
                <w:color w:val="auto"/>
                <w:sz w:val="21"/>
                <w:szCs w:val="21"/>
                <w:highlight w:val="none"/>
                <w:lang w:eastAsia="zh-CN"/>
              </w:rPr>
              <w:t>投标人应在开标</w:t>
            </w:r>
            <w:r>
              <w:rPr>
                <w:rStyle w:val="33"/>
                <w:rFonts w:hint="eastAsia" w:ascii="仿宋" w:hAnsi="仿宋" w:eastAsia="仿宋" w:cs="仿宋"/>
                <w:color w:val="auto"/>
                <w:sz w:val="21"/>
                <w:szCs w:val="21"/>
                <w:highlight w:val="none"/>
                <w:lang w:val="en-US" w:eastAsia="zh-CN"/>
              </w:rPr>
              <w:t>5</w:t>
            </w:r>
            <w:r>
              <w:rPr>
                <w:rStyle w:val="33"/>
                <w:rFonts w:hint="eastAsia" w:ascii="仿宋" w:hAnsi="仿宋" w:eastAsia="仿宋" w:cs="仿宋"/>
                <w:color w:val="auto"/>
                <w:sz w:val="21"/>
                <w:szCs w:val="21"/>
                <w:highlight w:val="none"/>
                <w:lang w:eastAsia="zh-CN"/>
              </w:rPr>
              <w:t>日前将疑问电子版文件传至采购代理机构邮箱（</w:t>
            </w:r>
            <w:r>
              <w:rPr>
                <w:rStyle w:val="33"/>
                <w:rFonts w:hint="eastAsia" w:ascii="仿宋" w:hAnsi="仿宋" w:eastAsia="仿宋" w:cs="仿宋"/>
                <w:color w:val="auto"/>
                <w:sz w:val="21"/>
                <w:szCs w:val="21"/>
                <w:highlight w:val="none"/>
                <w:lang w:val="en-US" w:eastAsia="zh-CN"/>
              </w:rPr>
              <w:t>zhaobiaobu@jlzycx.com</w:t>
            </w:r>
            <w:r>
              <w:rPr>
                <w:rStyle w:val="33"/>
                <w:rFonts w:hint="eastAsia" w:ascii="仿宋" w:hAnsi="仿宋" w:eastAsia="仿宋" w:cs="仿宋"/>
                <w:color w:val="auto"/>
                <w:sz w:val="21"/>
                <w:szCs w:val="21"/>
                <w:highlight w:val="none"/>
                <w:lang w:eastAsia="zh-CN"/>
              </w:rPr>
              <w:t>）</w:t>
            </w:r>
            <w:r>
              <w:rPr>
                <w:rFonts w:hint="eastAsia" w:ascii="仿宋" w:hAnsi="仿宋" w:eastAsia="仿宋" w:cs="仿宋"/>
                <w:sz w:val="21"/>
                <w:szCs w:val="21"/>
                <w:highlight w:val="none"/>
                <w:lang w:eastAsia="zh-CN"/>
              </w:rPr>
              <w:fldChar w:fldCharType="end"/>
            </w:r>
          </w:p>
          <w:p>
            <w:pPr>
              <w:bidi w:val="0"/>
              <w:spacing w:line="240" w:lineRule="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注：相关疑问按上述要求递交外，还应按</w:t>
            </w:r>
            <w:r>
              <w:rPr>
                <w:rFonts w:hint="eastAsia" w:ascii="仿宋" w:hAnsi="仿宋" w:eastAsia="仿宋" w:cs="仿宋"/>
                <w:sz w:val="21"/>
                <w:szCs w:val="21"/>
                <w:highlight w:val="none"/>
                <w:lang w:val="zh-CN" w:eastAsia="zh-CN"/>
              </w:rPr>
              <w:t>政府采购云平台电子标要求在政府采购云平台提出</w:t>
            </w:r>
          </w:p>
        </w:tc>
      </w:tr>
      <w:tr>
        <w:tblPrEx>
          <w:tblCellMar>
            <w:top w:w="0" w:type="dxa"/>
            <w:left w:w="108" w:type="dxa"/>
            <w:bottom w:w="0" w:type="dxa"/>
            <w:right w:w="108" w:type="dxa"/>
          </w:tblCellMar>
        </w:tblPrEx>
        <w:trPr>
          <w:trHeight w:val="454" w:hRule="atLeast"/>
        </w:trPr>
        <w:tc>
          <w:tcPr>
            <w:tcW w:w="881"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1.10.3</w:t>
            </w:r>
          </w:p>
        </w:tc>
        <w:tc>
          <w:tcPr>
            <w:tcW w:w="2108"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招标人书面澄清的时间</w:t>
            </w:r>
          </w:p>
        </w:tc>
        <w:tc>
          <w:tcPr>
            <w:tcW w:w="5336"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在收到相应文件后24小时内</w:t>
            </w:r>
          </w:p>
        </w:tc>
      </w:tr>
      <w:tr>
        <w:tblPrEx>
          <w:tblCellMar>
            <w:top w:w="0" w:type="dxa"/>
            <w:left w:w="108" w:type="dxa"/>
            <w:bottom w:w="0" w:type="dxa"/>
            <w:right w:w="108" w:type="dxa"/>
          </w:tblCellMar>
        </w:tblPrEx>
        <w:trPr>
          <w:trHeight w:val="454" w:hRule="atLeast"/>
        </w:trPr>
        <w:tc>
          <w:tcPr>
            <w:tcW w:w="881"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1.11</w:t>
            </w:r>
          </w:p>
        </w:tc>
        <w:tc>
          <w:tcPr>
            <w:tcW w:w="2108"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偏离</w:t>
            </w:r>
          </w:p>
        </w:tc>
        <w:tc>
          <w:tcPr>
            <w:tcW w:w="5336"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不允许</w:t>
            </w:r>
          </w:p>
          <w:p>
            <w:pPr>
              <w:bidi w:val="0"/>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□允许</w:t>
            </w:r>
          </w:p>
        </w:tc>
      </w:tr>
      <w:tr>
        <w:tblPrEx>
          <w:tblCellMar>
            <w:top w:w="0" w:type="dxa"/>
            <w:left w:w="108" w:type="dxa"/>
            <w:bottom w:w="0" w:type="dxa"/>
            <w:right w:w="108" w:type="dxa"/>
          </w:tblCellMar>
        </w:tblPrEx>
        <w:trPr>
          <w:trHeight w:val="454" w:hRule="atLeast"/>
        </w:trPr>
        <w:tc>
          <w:tcPr>
            <w:tcW w:w="881"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2.1</w:t>
            </w:r>
          </w:p>
        </w:tc>
        <w:tc>
          <w:tcPr>
            <w:tcW w:w="2108"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构成</w:t>
            </w:r>
            <w:r>
              <w:rPr>
                <w:rFonts w:hint="eastAsia" w:ascii="仿宋" w:hAnsi="仿宋" w:eastAsia="仿宋" w:cs="仿宋"/>
                <w:sz w:val="21"/>
                <w:szCs w:val="21"/>
                <w:highlight w:val="none"/>
                <w:lang w:eastAsia="zh-CN"/>
              </w:rPr>
              <w:t>招标文件</w:t>
            </w:r>
            <w:r>
              <w:rPr>
                <w:rFonts w:hint="eastAsia" w:ascii="仿宋" w:hAnsi="仿宋" w:eastAsia="仿宋" w:cs="仿宋"/>
                <w:sz w:val="21"/>
                <w:szCs w:val="21"/>
                <w:highlight w:val="none"/>
              </w:rPr>
              <w:t>的其他材料</w:t>
            </w:r>
          </w:p>
        </w:tc>
        <w:tc>
          <w:tcPr>
            <w:tcW w:w="5336"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w:t>
            </w:r>
          </w:p>
        </w:tc>
      </w:tr>
      <w:tr>
        <w:tblPrEx>
          <w:tblCellMar>
            <w:top w:w="0" w:type="dxa"/>
            <w:left w:w="108" w:type="dxa"/>
            <w:bottom w:w="0" w:type="dxa"/>
            <w:right w:w="108" w:type="dxa"/>
          </w:tblCellMar>
        </w:tblPrEx>
        <w:trPr>
          <w:trHeight w:val="454" w:hRule="atLeast"/>
        </w:trPr>
        <w:tc>
          <w:tcPr>
            <w:tcW w:w="881" w:type="dxa"/>
            <w:tcBorders>
              <w:top w:val="single" w:color="auto" w:sz="4" w:space="0"/>
              <w:left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2.2.1</w:t>
            </w:r>
          </w:p>
        </w:tc>
        <w:tc>
          <w:tcPr>
            <w:tcW w:w="2108" w:type="dxa"/>
            <w:tcBorders>
              <w:top w:val="single" w:color="auto" w:sz="4" w:space="0"/>
              <w:left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投标人要求澄清</w:t>
            </w:r>
            <w:r>
              <w:rPr>
                <w:rFonts w:hint="eastAsia" w:ascii="仿宋" w:hAnsi="仿宋" w:eastAsia="仿宋" w:cs="仿宋"/>
                <w:sz w:val="21"/>
                <w:szCs w:val="21"/>
                <w:highlight w:val="none"/>
                <w:lang w:eastAsia="zh-CN"/>
              </w:rPr>
              <w:t>招标文件</w:t>
            </w:r>
            <w:r>
              <w:rPr>
                <w:rFonts w:hint="eastAsia" w:ascii="仿宋" w:hAnsi="仿宋" w:eastAsia="仿宋" w:cs="仿宋"/>
                <w:sz w:val="21"/>
                <w:szCs w:val="21"/>
                <w:highlight w:val="none"/>
              </w:rPr>
              <w:t>的截止时间</w:t>
            </w:r>
          </w:p>
        </w:tc>
        <w:tc>
          <w:tcPr>
            <w:tcW w:w="5336"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时间：递交投标文件截止之日前</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天</w:t>
            </w:r>
          </w:p>
        </w:tc>
      </w:tr>
      <w:tr>
        <w:tblPrEx>
          <w:tblCellMar>
            <w:top w:w="0" w:type="dxa"/>
            <w:left w:w="108" w:type="dxa"/>
            <w:bottom w:w="0" w:type="dxa"/>
            <w:right w:w="108" w:type="dxa"/>
          </w:tblCellMar>
        </w:tblPrEx>
        <w:trPr>
          <w:trHeight w:val="454" w:hRule="atLeast"/>
        </w:trPr>
        <w:tc>
          <w:tcPr>
            <w:tcW w:w="881" w:type="dxa"/>
            <w:vMerge w:val="restart"/>
            <w:tcBorders>
              <w:top w:val="single" w:color="auto" w:sz="4" w:space="0"/>
              <w:left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2.2.3</w:t>
            </w:r>
          </w:p>
        </w:tc>
        <w:tc>
          <w:tcPr>
            <w:tcW w:w="2108" w:type="dxa"/>
            <w:vMerge w:val="restart"/>
            <w:tcBorders>
              <w:top w:val="single" w:color="auto" w:sz="4" w:space="0"/>
              <w:left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投标人确认收到</w:t>
            </w:r>
          </w:p>
          <w:p>
            <w:pPr>
              <w:bidi w:val="0"/>
              <w:spacing w:line="240" w:lineRule="auto"/>
              <w:jc w:val="center"/>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招标文件澄清</w:t>
            </w:r>
          </w:p>
        </w:tc>
        <w:tc>
          <w:tcPr>
            <w:tcW w:w="5336"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时间：收到澄清后24小时内（以发出时间为准）。</w:t>
            </w:r>
          </w:p>
        </w:tc>
      </w:tr>
      <w:tr>
        <w:tblPrEx>
          <w:tblCellMar>
            <w:top w:w="0" w:type="dxa"/>
            <w:left w:w="108" w:type="dxa"/>
            <w:bottom w:w="0" w:type="dxa"/>
            <w:right w:w="108" w:type="dxa"/>
          </w:tblCellMar>
        </w:tblPrEx>
        <w:trPr>
          <w:trHeight w:val="454" w:hRule="atLeast"/>
        </w:trPr>
        <w:tc>
          <w:tcPr>
            <w:tcW w:w="881" w:type="dxa"/>
            <w:vMerge w:val="continue"/>
            <w:tcBorders>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p>
        </w:tc>
        <w:tc>
          <w:tcPr>
            <w:tcW w:w="2108" w:type="dxa"/>
            <w:vMerge w:val="continue"/>
            <w:tcBorders>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p>
        </w:tc>
        <w:tc>
          <w:tcPr>
            <w:tcW w:w="5336"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形式：将收到澄清的答疑文件以确认函形式发送至</w:t>
            </w:r>
            <w:r>
              <w:rPr>
                <w:rFonts w:hint="eastAsia" w:ascii="仿宋" w:hAnsi="仿宋" w:eastAsia="仿宋" w:cs="仿宋"/>
                <w:sz w:val="21"/>
                <w:szCs w:val="21"/>
                <w:highlight w:val="none"/>
                <w:lang w:val="en-US" w:eastAsia="zh-CN"/>
              </w:rPr>
              <w:t>zhaobiaobu@jlzycx.com</w:t>
            </w:r>
            <w:r>
              <w:rPr>
                <w:rFonts w:hint="eastAsia" w:ascii="仿宋" w:hAnsi="仿宋" w:eastAsia="仿宋" w:cs="仿宋"/>
                <w:sz w:val="21"/>
                <w:szCs w:val="21"/>
                <w:highlight w:val="none"/>
                <w:lang w:val="zh-CN"/>
              </w:rPr>
              <w:t>。</w:t>
            </w:r>
          </w:p>
        </w:tc>
      </w:tr>
      <w:tr>
        <w:tblPrEx>
          <w:tblCellMar>
            <w:top w:w="0" w:type="dxa"/>
            <w:left w:w="108" w:type="dxa"/>
            <w:bottom w:w="0" w:type="dxa"/>
            <w:right w:w="108" w:type="dxa"/>
          </w:tblCellMar>
        </w:tblPrEx>
        <w:trPr>
          <w:trHeight w:val="454" w:hRule="atLeast"/>
        </w:trPr>
        <w:tc>
          <w:tcPr>
            <w:tcW w:w="881" w:type="dxa"/>
            <w:tcBorders>
              <w:top w:val="single" w:color="auto" w:sz="4" w:space="0"/>
              <w:left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2.3.2</w:t>
            </w:r>
          </w:p>
        </w:tc>
        <w:tc>
          <w:tcPr>
            <w:tcW w:w="2108" w:type="dxa"/>
            <w:tcBorders>
              <w:top w:val="single" w:color="auto" w:sz="4" w:space="0"/>
              <w:left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投标人确认收到</w:t>
            </w:r>
            <w:r>
              <w:rPr>
                <w:rFonts w:hint="eastAsia" w:ascii="仿宋" w:hAnsi="仿宋" w:eastAsia="仿宋" w:cs="仿宋"/>
                <w:sz w:val="21"/>
                <w:szCs w:val="21"/>
                <w:highlight w:val="none"/>
                <w:lang w:eastAsia="zh-CN"/>
              </w:rPr>
              <w:t>招标文件</w:t>
            </w:r>
            <w:r>
              <w:rPr>
                <w:rFonts w:hint="eastAsia" w:ascii="仿宋" w:hAnsi="仿宋" w:eastAsia="仿宋" w:cs="仿宋"/>
                <w:sz w:val="21"/>
                <w:szCs w:val="21"/>
                <w:highlight w:val="none"/>
              </w:rPr>
              <w:t>修改的时间</w:t>
            </w:r>
          </w:p>
        </w:tc>
        <w:tc>
          <w:tcPr>
            <w:tcW w:w="5336"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在收到相应澄清文件后24小时内</w:t>
            </w:r>
          </w:p>
        </w:tc>
      </w:tr>
      <w:tr>
        <w:tblPrEx>
          <w:tblCellMar>
            <w:top w:w="0" w:type="dxa"/>
            <w:left w:w="108" w:type="dxa"/>
            <w:bottom w:w="0" w:type="dxa"/>
            <w:right w:w="108" w:type="dxa"/>
          </w:tblCellMar>
        </w:tblPrEx>
        <w:trPr>
          <w:trHeight w:val="90" w:hRule="atLeast"/>
        </w:trPr>
        <w:tc>
          <w:tcPr>
            <w:tcW w:w="881"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3.1.1</w:t>
            </w:r>
          </w:p>
        </w:tc>
        <w:tc>
          <w:tcPr>
            <w:tcW w:w="2108"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构成投标文件的其他材料</w:t>
            </w:r>
          </w:p>
        </w:tc>
        <w:tc>
          <w:tcPr>
            <w:tcW w:w="5336"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ind w:firstLine="0"/>
              <w:rPr>
                <w:rFonts w:hint="eastAsia" w:ascii="仿宋" w:hAnsi="仿宋" w:eastAsia="仿宋" w:cs="仿宋"/>
                <w:sz w:val="21"/>
                <w:szCs w:val="21"/>
                <w:highlight w:val="none"/>
              </w:rPr>
            </w:pPr>
            <w:r>
              <w:rPr>
                <w:rFonts w:hint="eastAsia" w:ascii="仿宋" w:hAnsi="仿宋" w:eastAsia="仿宋" w:cs="仿宋"/>
                <w:sz w:val="21"/>
                <w:szCs w:val="21"/>
                <w:highlight w:val="none"/>
              </w:rPr>
              <w:t>投标人</w:t>
            </w:r>
            <w:r>
              <w:rPr>
                <w:rFonts w:hint="eastAsia" w:ascii="仿宋" w:hAnsi="仿宋" w:eastAsia="仿宋" w:cs="仿宋"/>
                <w:sz w:val="21"/>
                <w:szCs w:val="21"/>
                <w:highlight w:val="none"/>
                <w:lang w:val="en-US" w:eastAsia="zh-CN"/>
              </w:rPr>
              <w:t>下列资质证明文件扫描件随投标文件同时上传</w:t>
            </w:r>
            <w:r>
              <w:rPr>
                <w:rFonts w:hint="eastAsia" w:ascii="仿宋" w:hAnsi="仿宋" w:eastAsia="仿宋" w:cs="仿宋"/>
                <w:sz w:val="21"/>
                <w:szCs w:val="21"/>
                <w:highlight w:val="none"/>
              </w:rPr>
              <w:t xml:space="preserve">： </w:t>
            </w:r>
          </w:p>
          <w:p>
            <w:pPr>
              <w:numPr>
                <w:ilvl w:val="0"/>
                <w:numId w:val="6"/>
              </w:numPr>
              <w:bidi w:val="0"/>
              <w:spacing w:line="240" w:lineRule="auto"/>
              <w:ind w:left="425" w:leftChars="0" w:hanging="425"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企业营业执照副本或事业单位法人证书；</w:t>
            </w:r>
          </w:p>
          <w:p>
            <w:pPr>
              <w:numPr>
                <w:ilvl w:val="0"/>
                <w:numId w:val="6"/>
              </w:numPr>
              <w:bidi w:val="0"/>
              <w:spacing w:line="240" w:lineRule="auto"/>
              <w:ind w:left="425" w:leftChars="0" w:hanging="425"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缴纳投标保证金凭证；</w:t>
            </w:r>
          </w:p>
          <w:p>
            <w:pPr>
              <w:numPr>
                <w:ilvl w:val="0"/>
                <w:numId w:val="6"/>
              </w:numPr>
              <w:bidi w:val="0"/>
              <w:spacing w:line="240" w:lineRule="auto"/>
              <w:ind w:left="425" w:leftChars="0" w:hanging="425"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近年（</w:t>
            </w:r>
            <w:r>
              <w:rPr>
                <w:rFonts w:hint="eastAsia" w:ascii="仿宋" w:hAnsi="仿宋" w:eastAsia="仿宋" w:cs="仿宋"/>
                <w:sz w:val="21"/>
                <w:szCs w:val="21"/>
                <w:highlight w:val="none"/>
                <w:lang w:val="en-US" w:eastAsia="zh-CN"/>
              </w:rPr>
              <w:t>202</w:t>
            </w:r>
            <w:r>
              <w:rPr>
                <w:rFonts w:hint="eastAsia" w:cs="仿宋"/>
                <w:sz w:val="21"/>
                <w:szCs w:val="21"/>
                <w:highlight w:val="none"/>
                <w:lang w:val="en-US" w:eastAsia="zh-CN"/>
              </w:rPr>
              <w:t>2</w:t>
            </w:r>
            <w:r>
              <w:rPr>
                <w:rFonts w:hint="eastAsia" w:ascii="仿宋" w:hAnsi="仿宋" w:eastAsia="仿宋" w:cs="仿宋"/>
                <w:sz w:val="21"/>
                <w:szCs w:val="21"/>
                <w:highlight w:val="none"/>
              </w:rPr>
              <w:t>年至</w:t>
            </w:r>
            <w:r>
              <w:rPr>
                <w:rFonts w:hint="eastAsia" w:ascii="仿宋" w:hAnsi="仿宋" w:eastAsia="仿宋" w:cs="仿宋"/>
                <w:sz w:val="21"/>
                <w:szCs w:val="21"/>
                <w:highlight w:val="none"/>
                <w:lang w:val="en-US" w:eastAsia="zh-CN"/>
              </w:rPr>
              <w:t>今</w:t>
            </w:r>
            <w:r>
              <w:rPr>
                <w:rFonts w:hint="eastAsia" w:ascii="仿宋" w:hAnsi="仿宋" w:eastAsia="仿宋" w:cs="仿宋"/>
                <w:sz w:val="21"/>
                <w:szCs w:val="21"/>
                <w:highlight w:val="none"/>
              </w:rPr>
              <w:t>）类似项目业绩证明材料（合同</w:t>
            </w:r>
            <w:r>
              <w:rPr>
                <w:rFonts w:hint="eastAsia" w:cs="仿宋"/>
                <w:sz w:val="21"/>
                <w:szCs w:val="21"/>
                <w:highlight w:val="none"/>
                <w:lang w:val="en-US" w:eastAsia="zh-CN"/>
              </w:rPr>
              <w:t>和</w:t>
            </w:r>
            <w:r>
              <w:rPr>
                <w:rFonts w:hint="eastAsia" w:ascii="仿宋" w:hAnsi="仿宋" w:eastAsia="仿宋" w:cs="仿宋"/>
                <w:sz w:val="21"/>
                <w:szCs w:val="21"/>
                <w:highlight w:val="none"/>
              </w:rPr>
              <w:t>中标通知书）；</w:t>
            </w:r>
          </w:p>
          <w:p>
            <w:pPr>
              <w:numPr>
                <w:ilvl w:val="0"/>
                <w:numId w:val="6"/>
              </w:numPr>
              <w:bidi w:val="0"/>
              <w:spacing w:line="240" w:lineRule="auto"/>
              <w:ind w:left="425" w:leftChars="0" w:hanging="425"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近三年（202</w:t>
            </w:r>
            <w:r>
              <w:rPr>
                <w:rFonts w:hint="eastAsia" w:cs="仿宋"/>
                <w:sz w:val="21"/>
                <w:szCs w:val="21"/>
                <w:highlight w:val="none"/>
                <w:lang w:val="en-US" w:eastAsia="zh-CN"/>
              </w:rPr>
              <w:t>2</w:t>
            </w:r>
            <w:r>
              <w:rPr>
                <w:rFonts w:hint="eastAsia" w:ascii="仿宋" w:hAnsi="仿宋" w:eastAsia="仿宋" w:cs="仿宋"/>
                <w:sz w:val="21"/>
                <w:szCs w:val="21"/>
                <w:highlight w:val="none"/>
                <w:lang w:val="en-US" w:eastAsia="zh-CN"/>
              </w:rPr>
              <w:t>年至</w:t>
            </w:r>
            <w:r>
              <w:rPr>
                <w:rFonts w:hint="eastAsia" w:cs="仿宋"/>
                <w:sz w:val="21"/>
                <w:szCs w:val="21"/>
                <w:highlight w:val="none"/>
                <w:lang w:val="en-US" w:eastAsia="zh-CN"/>
              </w:rPr>
              <w:t>2024年</w:t>
            </w:r>
            <w:r>
              <w:rPr>
                <w:rFonts w:hint="eastAsia" w:ascii="仿宋" w:hAnsi="仿宋" w:eastAsia="仿宋" w:cs="仿宋"/>
                <w:sz w:val="21"/>
                <w:szCs w:val="21"/>
                <w:highlight w:val="none"/>
                <w:lang w:val="en-US" w:eastAsia="zh-CN"/>
              </w:rPr>
              <w:t>）经会计师事务所审计的财务</w:t>
            </w:r>
            <w:r>
              <w:rPr>
                <w:rFonts w:hint="eastAsia" w:cs="仿宋"/>
                <w:sz w:val="21"/>
                <w:szCs w:val="21"/>
                <w:highlight w:val="none"/>
                <w:lang w:val="en-US" w:eastAsia="zh-CN"/>
              </w:rPr>
              <w:t>审计报告或财务报表</w:t>
            </w:r>
            <w:r>
              <w:rPr>
                <w:rFonts w:hint="eastAsia" w:ascii="仿宋" w:hAnsi="仿宋" w:eastAsia="仿宋" w:cs="仿宋"/>
                <w:sz w:val="21"/>
                <w:szCs w:val="21"/>
                <w:highlight w:val="none"/>
                <w:lang w:val="en-US" w:eastAsia="zh-CN"/>
              </w:rPr>
              <w:t>（投标人的成立时间少于规定年份的，应提供成立以来至202</w:t>
            </w:r>
            <w:r>
              <w:rPr>
                <w:rFonts w:hint="eastAsia" w:cs="仿宋"/>
                <w:sz w:val="21"/>
                <w:szCs w:val="21"/>
                <w:highlight w:val="none"/>
                <w:lang w:val="en-US" w:eastAsia="zh-CN"/>
              </w:rPr>
              <w:t>4</w:t>
            </w:r>
            <w:r>
              <w:rPr>
                <w:rFonts w:hint="eastAsia" w:ascii="仿宋" w:hAnsi="仿宋" w:eastAsia="仿宋" w:cs="仿宋"/>
                <w:sz w:val="21"/>
                <w:szCs w:val="21"/>
                <w:highlight w:val="none"/>
                <w:lang w:val="en-US" w:eastAsia="zh-CN"/>
              </w:rPr>
              <w:t>年的财务</w:t>
            </w:r>
            <w:r>
              <w:rPr>
                <w:rFonts w:hint="eastAsia" w:cs="仿宋"/>
                <w:sz w:val="21"/>
                <w:szCs w:val="21"/>
                <w:highlight w:val="none"/>
                <w:lang w:val="en-US" w:eastAsia="zh-CN"/>
              </w:rPr>
              <w:t>审计报告或财务报表</w:t>
            </w:r>
            <w:r>
              <w:rPr>
                <w:rFonts w:hint="eastAsia" w:ascii="仿宋" w:hAnsi="仿宋" w:eastAsia="仿宋" w:cs="仿宋"/>
                <w:sz w:val="21"/>
                <w:szCs w:val="21"/>
                <w:highlight w:val="none"/>
                <w:lang w:val="en-US" w:eastAsia="zh-CN"/>
              </w:rPr>
              <w:t>；202</w:t>
            </w:r>
            <w:r>
              <w:rPr>
                <w:rFonts w:hint="eastAsia" w:cs="仿宋"/>
                <w:sz w:val="21"/>
                <w:szCs w:val="21"/>
                <w:highlight w:val="none"/>
                <w:lang w:val="en-US" w:eastAsia="zh-CN"/>
              </w:rPr>
              <w:t>5</w:t>
            </w:r>
            <w:r>
              <w:rPr>
                <w:rFonts w:hint="eastAsia" w:ascii="仿宋" w:hAnsi="仿宋" w:eastAsia="仿宋" w:cs="仿宋"/>
                <w:sz w:val="21"/>
                <w:szCs w:val="21"/>
                <w:highlight w:val="none"/>
                <w:lang w:val="en-US" w:eastAsia="zh-CN"/>
              </w:rPr>
              <w:t>年以后新成立企业需提供近三个月内银行出具的公司资信证明）</w:t>
            </w:r>
            <w:r>
              <w:rPr>
                <w:rFonts w:hint="eastAsia" w:cs="仿宋"/>
                <w:sz w:val="21"/>
                <w:szCs w:val="21"/>
                <w:highlight w:val="none"/>
                <w:lang w:val="en-US" w:eastAsia="zh-CN"/>
              </w:rPr>
              <w:t>;</w:t>
            </w:r>
          </w:p>
          <w:p>
            <w:pPr>
              <w:numPr>
                <w:ilvl w:val="0"/>
                <w:numId w:val="6"/>
              </w:numPr>
              <w:bidi w:val="0"/>
              <w:spacing w:line="240" w:lineRule="auto"/>
              <w:ind w:left="425" w:leftChars="0" w:hanging="425" w:firstLineChars="0"/>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供应商应提供近六个月中至少一个月的社会缴纳社会保险的凭据（专用收据或社会保险缴纳清单）和良好缴纳税收的相关凭据（以税务机关提供的纳税凭据或银行入账单为准），并加盖本单位公章。依法免税或不需要缴纳社会保障资金的供应商，应提供相应文件证明其依法免税或不需要缴纳社会保障资金</w:t>
            </w:r>
            <w:r>
              <w:rPr>
                <w:rFonts w:hint="eastAsia" w:cs="仿宋"/>
                <w:sz w:val="21"/>
                <w:szCs w:val="21"/>
                <w:highlight w:val="none"/>
                <w:lang w:val="en-US" w:eastAsia="zh-CN"/>
              </w:rPr>
              <w:t>;</w:t>
            </w:r>
          </w:p>
          <w:p>
            <w:pPr>
              <w:numPr>
                <w:ilvl w:val="0"/>
                <w:numId w:val="6"/>
              </w:numPr>
              <w:bidi w:val="0"/>
              <w:spacing w:line="240" w:lineRule="auto"/>
              <w:ind w:left="425" w:leftChars="0" w:hanging="425"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投标人如为独立法人参加政府采购活动前三年内，在“信用中国”网站（www.creditchina.gov.cn）无任何不良信用记录，须提供查询截图证明；</w:t>
            </w:r>
          </w:p>
          <w:p>
            <w:pPr>
              <w:numPr>
                <w:ilvl w:val="0"/>
                <w:numId w:val="6"/>
              </w:numPr>
              <w:bidi w:val="0"/>
              <w:spacing w:line="240" w:lineRule="auto"/>
              <w:ind w:left="425" w:leftChars="0" w:hanging="425"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投标人须在中国裁判文书网（http://wenshu.court.gov.cn/）自行查询本公司行贿犯罪记录，且提供查询页面截图并加盖公章作为无行贿犯罪记录证明；</w:t>
            </w:r>
          </w:p>
          <w:p>
            <w:pPr>
              <w:numPr>
                <w:ilvl w:val="0"/>
                <w:numId w:val="6"/>
              </w:numPr>
              <w:bidi w:val="0"/>
              <w:spacing w:line="240" w:lineRule="auto"/>
              <w:ind w:left="425" w:leftChars="0" w:hanging="425" w:firstLineChars="0"/>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招标文件</w:t>
            </w:r>
            <w:r>
              <w:rPr>
                <w:rFonts w:hint="eastAsia" w:ascii="仿宋" w:hAnsi="仿宋" w:eastAsia="仿宋" w:cs="仿宋"/>
                <w:sz w:val="21"/>
                <w:szCs w:val="21"/>
                <w:highlight w:val="none"/>
              </w:rPr>
              <w:t>要求的其他证明材料。</w:t>
            </w:r>
          </w:p>
          <w:p>
            <w:pPr>
              <w:bidi w:val="0"/>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注：</w:t>
            </w:r>
            <w:r>
              <w:rPr>
                <w:rFonts w:hint="eastAsia" w:ascii="仿宋" w:hAnsi="仿宋" w:eastAsia="仿宋" w:cs="仿宋"/>
                <w:sz w:val="21"/>
                <w:szCs w:val="21"/>
                <w:highlight w:val="none"/>
                <w:lang w:val="en-US" w:eastAsia="zh-CN"/>
              </w:rPr>
              <w:t>上述证件应在投标文件其他材料中上传</w:t>
            </w:r>
          </w:p>
        </w:tc>
      </w:tr>
      <w:tr>
        <w:tblPrEx>
          <w:tblCellMar>
            <w:top w:w="0" w:type="dxa"/>
            <w:left w:w="108" w:type="dxa"/>
            <w:bottom w:w="0" w:type="dxa"/>
            <w:right w:w="108" w:type="dxa"/>
          </w:tblCellMar>
        </w:tblPrEx>
        <w:trPr>
          <w:trHeight w:val="454" w:hRule="atLeast"/>
        </w:trPr>
        <w:tc>
          <w:tcPr>
            <w:tcW w:w="881"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3.2.</w:t>
            </w:r>
            <w:r>
              <w:rPr>
                <w:rFonts w:hint="eastAsia" w:ascii="仿宋" w:hAnsi="仿宋" w:eastAsia="仿宋" w:cs="仿宋"/>
                <w:sz w:val="21"/>
                <w:szCs w:val="21"/>
                <w:highlight w:val="none"/>
                <w:lang w:val="en-US" w:eastAsia="zh-CN"/>
              </w:rPr>
              <w:t>1</w:t>
            </w:r>
          </w:p>
        </w:tc>
        <w:tc>
          <w:tcPr>
            <w:tcW w:w="2108"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最高投标限价</w:t>
            </w:r>
          </w:p>
        </w:tc>
        <w:tc>
          <w:tcPr>
            <w:tcW w:w="5336"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eastAsia="zh-CN"/>
              </w:rPr>
              <w:t>预算金额</w:t>
            </w:r>
            <w:r>
              <w:rPr>
                <w:rFonts w:hint="eastAsia" w:ascii="仿宋" w:hAnsi="仿宋" w:eastAsia="仿宋" w:cs="仿宋"/>
                <w:sz w:val="21"/>
                <w:szCs w:val="21"/>
                <w:highlight w:val="none"/>
              </w:rPr>
              <w:t>：</w:t>
            </w:r>
            <w:r>
              <w:rPr>
                <w:rFonts w:hint="eastAsia" w:cs="仿宋"/>
                <w:sz w:val="21"/>
                <w:szCs w:val="21"/>
                <w:highlight w:val="none"/>
                <w:lang w:eastAsia="zh-CN"/>
              </w:rPr>
              <w:t>400.00万元</w:t>
            </w:r>
          </w:p>
          <w:p>
            <w:pPr>
              <w:bidi w:val="0"/>
              <w:spacing w:line="240" w:lineRule="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最高限价：</w:t>
            </w:r>
            <w:r>
              <w:rPr>
                <w:rFonts w:hint="eastAsia" w:cs="仿宋"/>
                <w:sz w:val="21"/>
                <w:szCs w:val="21"/>
                <w:highlight w:val="none"/>
                <w:lang w:eastAsia="zh-CN"/>
              </w:rPr>
              <w:t>400.00万元</w:t>
            </w:r>
          </w:p>
          <w:p>
            <w:pPr>
              <w:bidi w:val="0"/>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（投标总价不能超过项目预算金额，否则在评审中应当认定其投标无效，视为废标）</w:t>
            </w:r>
            <w:r>
              <w:rPr>
                <w:rFonts w:hint="eastAsia" w:ascii="仿宋" w:hAnsi="仿宋" w:eastAsia="仿宋" w:cs="仿宋"/>
                <w:sz w:val="21"/>
                <w:szCs w:val="21"/>
                <w:highlight w:val="none"/>
                <w:lang w:eastAsia="zh-CN"/>
              </w:rPr>
              <w:t>。</w:t>
            </w:r>
          </w:p>
        </w:tc>
      </w:tr>
      <w:tr>
        <w:trPr>
          <w:trHeight w:val="223" w:hRule="atLeast"/>
        </w:trPr>
        <w:tc>
          <w:tcPr>
            <w:tcW w:w="881"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3.3.1</w:t>
            </w:r>
          </w:p>
        </w:tc>
        <w:tc>
          <w:tcPr>
            <w:tcW w:w="2108"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投标有效期</w:t>
            </w:r>
          </w:p>
        </w:tc>
        <w:tc>
          <w:tcPr>
            <w:tcW w:w="5336"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90天</w:t>
            </w:r>
          </w:p>
        </w:tc>
      </w:tr>
      <w:tr>
        <w:tblPrEx>
          <w:tblCellMar>
            <w:top w:w="0" w:type="dxa"/>
            <w:left w:w="108" w:type="dxa"/>
            <w:bottom w:w="0" w:type="dxa"/>
            <w:right w:w="108" w:type="dxa"/>
          </w:tblCellMar>
        </w:tblPrEx>
        <w:trPr>
          <w:trHeight w:val="454" w:hRule="atLeast"/>
        </w:trPr>
        <w:tc>
          <w:tcPr>
            <w:tcW w:w="881"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3.4.1</w:t>
            </w:r>
          </w:p>
        </w:tc>
        <w:tc>
          <w:tcPr>
            <w:tcW w:w="2108"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投标保证金</w:t>
            </w:r>
          </w:p>
        </w:tc>
        <w:tc>
          <w:tcPr>
            <w:tcW w:w="5336"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□不要求递交投标保证金</w:t>
            </w:r>
          </w:p>
          <w:p>
            <w:pPr>
              <w:bidi w:val="0"/>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要求递交投标保证金</w:t>
            </w:r>
          </w:p>
          <w:p>
            <w:pPr>
              <w:bidi w:val="0"/>
              <w:spacing w:line="240" w:lineRule="auto"/>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投标保证金的金额：</w:t>
            </w:r>
            <w:r>
              <w:rPr>
                <w:rFonts w:hint="eastAsia" w:cs="仿宋"/>
                <w:sz w:val="21"/>
                <w:szCs w:val="21"/>
                <w:highlight w:val="none"/>
                <w:lang w:val="en-US" w:eastAsia="zh-CN"/>
              </w:rPr>
              <w:t>8</w:t>
            </w:r>
            <w:r>
              <w:rPr>
                <w:rFonts w:hint="eastAsia" w:ascii="仿宋" w:hAnsi="仿宋" w:eastAsia="仿宋" w:cs="仿宋"/>
                <w:sz w:val="21"/>
                <w:szCs w:val="21"/>
                <w:highlight w:val="none"/>
                <w:lang w:val="en-US" w:eastAsia="zh-CN"/>
              </w:rPr>
              <w:t>万元，</w:t>
            </w:r>
            <w:r>
              <w:rPr>
                <w:rFonts w:hint="eastAsia" w:ascii="仿宋" w:hAnsi="仿宋" w:eastAsia="仿宋" w:cs="仿宋"/>
                <w:sz w:val="21"/>
                <w:szCs w:val="21"/>
                <w:highlight w:val="none"/>
              </w:rPr>
              <w:t>投标文件保证金的形式：</w:t>
            </w:r>
            <w:bookmarkStart w:id="23" w:name="EB8f897a1931a64a5d88e4d10dd9b71d7c"/>
            <w:r>
              <w:rPr>
                <w:rFonts w:hint="eastAsia" w:ascii="仿宋" w:hAnsi="仿宋" w:eastAsia="仿宋" w:cs="仿宋"/>
                <w:sz w:val="21"/>
                <w:szCs w:val="21"/>
                <w:highlight w:val="none"/>
                <w:lang w:val="en-US" w:eastAsia="zh-CN"/>
              </w:rPr>
              <w:t>其形式包括</w:t>
            </w:r>
            <w:bookmarkEnd w:id="23"/>
            <w:r>
              <w:rPr>
                <w:rFonts w:hint="eastAsia" w:cs="仿宋"/>
                <w:sz w:val="21"/>
                <w:szCs w:val="21"/>
                <w:highlight w:val="none"/>
                <w:lang w:val="en-US" w:eastAsia="zh-CN"/>
              </w:rPr>
              <w:t>银行转账、</w:t>
            </w:r>
            <w:r>
              <w:rPr>
                <w:rFonts w:hint="eastAsia" w:ascii="仿宋" w:hAnsi="仿宋" w:eastAsia="仿宋" w:cs="仿宋"/>
                <w:sz w:val="21"/>
                <w:szCs w:val="21"/>
                <w:highlight w:val="none"/>
                <w:lang w:val="en-US" w:eastAsia="zh-CN"/>
              </w:rPr>
              <w:t>银行保函或者担保公司保函</w:t>
            </w:r>
            <w:r>
              <w:rPr>
                <w:rFonts w:hint="eastAsia" w:ascii="仿宋" w:hAnsi="仿宋" w:eastAsia="仿宋" w:cs="仿宋"/>
                <w:sz w:val="21"/>
                <w:szCs w:val="21"/>
                <w:highlight w:val="none"/>
                <w:lang w:val="zh-CN"/>
              </w:rPr>
              <w:t>；</w:t>
            </w:r>
          </w:p>
          <w:p>
            <w:pPr>
              <w:bidi w:val="0"/>
              <w:spacing w:line="240" w:lineRule="auto"/>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账户名称:中屹宬信建设集团有限公司</w:t>
            </w:r>
          </w:p>
          <w:p>
            <w:pPr>
              <w:bidi w:val="0"/>
              <w:spacing w:line="240" w:lineRule="auto"/>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账    号:1620 4711 1388</w:t>
            </w:r>
          </w:p>
          <w:p>
            <w:pPr>
              <w:bidi w:val="0"/>
              <w:spacing w:line="240" w:lineRule="auto"/>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开 户 行:中国银行吉林市分行</w:t>
            </w:r>
          </w:p>
          <w:p>
            <w:pPr>
              <w:bidi w:val="0"/>
              <w:spacing w:line="240" w:lineRule="auto"/>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 xml:space="preserve">联系人：林铭锐 </w:t>
            </w:r>
          </w:p>
          <w:p>
            <w:pPr>
              <w:bidi w:val="0"/>
              <w:spacing w:line="240" w:lineRule="auto"/>
              <w:rPr>
                <w:rFonts w:hint="eastAsia" w:ascii="仿宋" w:hAnsi="仿宋" w:eastAsia="仿宋" w:cs="仿宋"/>
                <w:sz w:val="21"/>
                <w:szCs w:val="21"/>
                <w:highlight w:val="none"/>
                <w:lang w:val="zh-CN" w:eastAsia="zh-CN"/>
              </w:rPr>
            </w:pPr>
            <w:r>
              <w:rPr>
                <w:rFonts w:hint="eastAsia" w:ascii="仿宋" w:hAnsi="仿宋" w:eastAsia="仿宋" w:cs="仿宋"/>
                <w:sz w:val="21"/>
                <w:szCs w:val="21"/>
                <w:highlight w:val="none"/>
                <w:lang w:val="zh-CN"/>
              </w:rPr>
              <w:t>联系电话：0432-6336015</w:t>
            </w:r>
            <w:r>
              <w:rPr>
                <w:rFonts w:hint="eastAsia" w:ascii="仿宋" w:hAnsi="仿宋" w:eastAsia="仿宋" w:cs="仿宋"/>
                <w:sz w:val="21"/>
                <w:szCs w:val="21"/>
                <w:highlight w:val="none"/>
                <w:lang w:val="en-US" w:eastAsia="zh-CN"/>
              </w:rPr>
              <w:t>2</w:t>
            </w:r>
          </w:p>
          <w:p>
            <w:pPr>
              <w:bidi w:val="0"/>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lang w:val="zh-CN"/>
              </w:rPr>
              <w:t>投标保证金提交时间：投标保证金须在投标截止时间1日前完成交纳，如开标前一天遇有公休日或法定节假日,应在公休日、法定节假日前一天交付到账。</w:t>
            </w:r>
          </w:p>
          <w:p>
            <w:pPr>
              <w:bidi w:val="0"/>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注：</w:t>
            </w:r>
          </w:p>
          <w:p>
            <w:pPr>
              <w:bidi w:val="0"/>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1.投标单位应在汇款时认真核对收款单位、开户行名称、账号准确无误，确保保证金按时到账，否则后果自负。</w:t>
            </w:r>
          </w:p>
          <w:p>
            <w:pPr>
              <w:bidi w:val="0"/>
              <w:spacing w:line="240" w:lineRule="auto"/>
              <w:rPr>
                <w:rFonts w:hint="default" w:ascii="仿宋" w:hAnsi="仿宋" w:eastAsia="仿宋" w:cs="仿宋"/>
                <w:sz w:val="21"/>
                <w:szCs w:val="21"/>
                <w:highlight w:val="none"/>
                <w:lang w:val="en-US"/>
              </w:rPr>
            </w:pPr>
            <w:r>
              <w:rPr>
                <w:rFonts w:hint="eastAsia" w:cs="仿宋"/>
                <w:sz w:val="21"/>
                <w:szCs w:val="21"/>
                <w:highlight w:val="none"/>
                <w:lang w:val="en-US" w:eastAsia="zh-CN"/>
              </w:rPr>
              <w:t>2.</w:t>
            </w:r>
            <w:r>
              <w:rPr>
                <w:rFonts w:hint="eastAsia" w:ascii="仿宋" w:hAnsi="仿宋" w:eastAsia="仿宋" w:cs="仿宋"/>
                <w:sz w:val="21"/>
                <w:szCs w:val="21"/>
                <w:highlight w:val="none"/>
                <w:lang w:val="en-US" w:eastAsia="zh-CN"/>
              </w:rPr>
              <w:t>递交保函(所有形式的保函</w:t>
            </w:r>
            <w:r>
              <w:rPr>
                <w:rFonts w:hint="eastAsia" w:cs="仿宋"/>
                <w:sz w:val="21"/>
                <w:szCs w:val="21"/>
                <w:highlight w:val="none"/>
                <w:lang w:val="en-US" w:eastAsia="zh-CN"/>
              </w:rPr>
              <w:t>,需支持网查</w:t>
            </w:r>
            <w:r>
              <w:rPr>
                <w:rFonts w:hint="eastAsia" w:ascii="仿宋" w:hAnsi="仿宋" w:eastAsia="仿宋" w:cs="仿宋"/>
                <w:sz w:val="21"/>
                <w:szCs w:val="21"/>
                <w:highlight w:val="none"/>
                <w:lang w:val="en-US" w:eastAsia="zh-CN"/>
              </w:rPr>
              <w:t>)的投标单位，须在保证金递交截止日期前，将扫描件发送至zhaobiaobu@jlzycx.com）</w:t>
            </w:r>
            <w:r>
              <w:rPr>
                <w:rFonts w:hint="eastAsia" w:cs="仿宋"/>
                <w:sz w:val="21"/>
                <w:szCs w:val="21"/>
                <w:highlight w:val="none"/>
                <w:lang w:val="en-US" w:eastAsia="zh-CN"/>
              </w:rPr>
              <w:t>验证</w:t>
            </w:r>
          </w:p>
        </w:tc>
      </w:tr>
      <w:tr>
        <w:trPr>
          <w:trHeight w:val="90" w:hRule="atLeast"/>
        </w:trPr>
        <w:tc>
          <w:tcPr>
            <w:tcW w:w="881"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3.4.2</w:t>
            </w:r>
          </w:p>
        </w:tc>
        <w:tc>
          <w:tcPr>
            <w:tcW w:w="2108"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其他可以不予退还投标保证金的情形</w:t>
            </w:r>
          </w:p>
        </w:tc>
        <w:tc>
          <w:tcPr>
            <w:tcW w:w="5336"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投标人在投标过程中借用他人资质，互相串通、结盟，伪造虚假业绩、人员、财务、履约情况等，或违反国家有关规定，损害招标的公正性和竞争性进行投标者。</w:t>
            </w:r>
          </w:p>
        </w:tc>
      </w:tr>
      <w:tr>
        <w:tblPrEx>
          <w:tblCellMar>
            <w:top w:w="0" w:type="dxa"/>
            <w:left w:w="108" w:type="dxa"/>
            <w:bottom w:w="0" w:type="dxa"/>
            <w:right w:w="108" w:type="dxa"/>
          </w:tblCellMar>
        </w:tblPrEx>
        <w:trPr>
          <w:trHeight w:val="454" w:hRule="atLeast"/>
        </w:trPr>
        <w:tc>
          <w:tcPr>
            <w:tcW w:w="881"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3.5.2</w:t>
            </w:r>
          </w:p>
        </w:tc>
        <w:tc>
          <w:tcPr>
            <w:tcW w:w="2108"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近年财务状况的年份要求</w:t>
            </w:r>
          </w:p>
        </w:tc>
        <w:tc>
          <w:tcPr>
            <w:tcW w:w="5336"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rPr>
                <w:rFonts w:hint="default" w:ascii="仿宋" w:hAnsi="仿宋" w:eastAsia="仿宋" w:cs="仿宋"/>
                <w:sz w:val="21"/>
                <w:szCs w:val="21"/>
                <w:highlight w:val="none"/>
                <w:lang w:val="en-US"/>
              </w:rPr>
            </w:pPr>
            <w:bookmarkStart w:id="24" w:name="EB718167d6cb014d2b8536538e5b2a907f"/>
            <w:r>
              <w:rPr>
                <w:rFonts w:hint="eastAsia" w:ascii="仿宋" w:hAnsi="仿宋" w:eastAsia="仿宋" w:cs="仿宋"/>
                <w:sz w:val="21"/>
                <w:szCs w:val="21"/>
                <w:highlight w:val="none"/>
              </w:rPr>
              <w:t>3</w:t>
            </w:r>
            <w:bookmarkEnd w:id="24"/>
            <w:r>
              <w:rPr>
                <w:rFonts w:hint="eastAsia" w:ascii="仿宋" w:hAnsi="仿宋" w:eastAsia="仿宋" w:cs="仿宋"/>
                <w:sz w:val="21"/>
                <w:szCs w:val="21"/>
                <w:highlight w:val="none"/>
              </w:rPr>
              <w:t>年，指</w:t>
            </w:r>
            <w:bookmarkStart w:id="25" w:name="EB0da7e08d261c440fbb71475207a7ef17"/>
            <w:r>
              <w:rPr>
                <w:rFonts w:hint="eastAsia" w:ascii="仿宋" w:hAnsi="仿宋" w:eastAsia="仿宋" w:cs="仿宋"/>
                <w:sz w:val="21"/>
                <w:szCs w:val="21"/>
                <w:highlight w:val="none"/>
              </w:rPr>
              <w:t>20</w:t>
            </w:r>
            <w:bookmarkEnd w:id="25"/>
            <w:r>
              <w:rPr>
                <w:rFonts w:hint="eastAsia" w:cs="仿宋"/>
                <w:sz w:val="21"/>
                <w:szCs w:val="21"/>
                <w:highlight w:val="none"/>
                <w:lang w:val="en-US" w:eastAsia="zh-CN"/>
              </w:rPr>
              <w:t>22年</w:t>
            </w:r>
            <w:r>
              <w:rPr>
                <w:rFonts w:hint="eastAsia" w:ascii="仿宋" w:hAnsi="仿宋" w:eastAsia="仿宋" w:cs="仿宋"/>
                <w:sz w:val="21"/>
                <w:szCs w:val="21"/>
                <w:highlight w:val="none"/>
              </w:rPr>
              <w:t>至</w:t>
            </w:r>
            <w:bookmarkStart w:id="26" w:name="EBabeda0d423d34e27a612b27f15499b09"/>
            <w:r>
              <w:rPr>
                <w:rFonts w:hint="eastAsia" w:ascii="仿宋" w:hAnsi="仿宋" w:eastAsia="仿宋" w:cs="仿宋"/>
                <w:sz w:val="21"/>
                <w:szCs w:val="21"/>
                <w:highlight w:val="none"/>
              </w:rPr>
              <w:t>20</w:t>
            </w:r>
            <w:r>
              <w:rPr>
                <w:rFonts w:hint="eastAsia" w:ascii="仿宋" w:hAnsi="仿宋" w:eastAsia="仿宋" w:cs="仿宋"/>
                <w:sz w:val="21"/>
                <w:szCs w:val="21"/>
                <w:highlight w:val="none"/>
                <w:lang w:val="en-US" w:eastAsia="zh-CN"/>
              </w:rPr>
              <w:t>2</w:t>
            </w:r>
            <w:bookmarkEnd w:id="26"/>
            <w:r>
              <w:rPr>
                <w:rFonts w:hint="eastAsia" w:cs="仿宋"/>
                <w:sz w:val="21"/>
                <w:szCs w:val="21"/>
                <w:highlight w:val="none"/>
                <w:lang w:val="en-US" w:eastAsia="zh-CN"/>
              </w:rPr>
              <w:t>4年</w:t>
            </w:r>
          </w:p>
          <w:p>
            <w:pPr>
              <w:bidi w:val="0"/>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20</w:t>
            </w:r>
            <w:r>
              <w:rPr>
                <w:rFonts w:hint="eastAsia" w:ascii="仿宋" w:hAnsi="仿宋" w:eastAsia="仿宋" w:cs="仿宋"/>
                <w:sz w:val="21"/>
                <w:szCs w:val="21"/>
                <w:highlight w:val="none"/>
                <w:lang w:val="en-US" w:eastAsia="zh-CN"/>
              </w:rPr>
              <w:t>2</w:t>
            </w:r>
            <w:r>
              <w:rPr>
                <w:rFonts w:hint="eastAsia" w:cs="仿宋"/>
                <w:sz w:val="21"/>
                <w:szCs w:val="21"/>
                <w:highlight w:val="none"/>
                <w:lang w:val="en-US" w:eastAsia="zh-CN"/>
              </w:rPr>
              <w:t>5</w:t>
            </w:r>
            <w:r>
              <w:rPr>
                <w:rFonts w:hint="eastAsia" w:ascii="仿宋" w:hAnsi="仿宋" w:eastAsia="仿宋" w:cs="仿宋"/>
                <w:sz w:val="21"/>
                <w:szCs w:val="21"/>
                <w:highlight w:val="none"/>
              </w:rPr>
              <w:t>年以后新成立公司：须提供由银行或其他金融机构出具的资信证明；</w:t>
            </w:r>
          </w:p>
        </w:tc>
      </w:tr>
      <w:tr>
        <w:trPr>
          <w:trHeight w:val="454" w:hRule="atLeast"/>
        </w:trPr>
        <w:tc>
          <w:tcPr>
            <w:tcW w:w="881"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3.5.3</w:t>
            </w:r>
          </w:p>
        </w:tc>
        <w:tc>
          <w:tcPr>
            <w:tcW w:w="2108"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近年完成的类似项目的年份要求</w:t>
            </w:r>
          </w:p>
        </w:tc>
        <w:tc>
          <w:tcPr>
            <w:tcW w:w="5336"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3年，指20</w:t>
            </w:r>
            <w:r>
              <w:rPr>
                <w:rFonts w:hint="eastAsia" w:ascii="仿宋" w:hAnsi="仿宋" w:eastAsia="仿宋" w:cs="仿宋"/>
                <w:sz w:val="21"/>
                <w:szCs w:val="21"/>
                <w:highlight w:val="none"/>
                <w:lang w:val="en-US" w:eastAsia="zh-CN"/>
              </w:rPr>
              <w:t>2</w:t>
            </w:r>
            <w:r>
              <w:rPr>
                <w:rFonts w:hint="eastAsia" w:cs="仿宋"/>
                <w:sz w:val="21"/>
                <w:szCs w:val="21"/>
                <w:highlight w:val="none"/>
                <w:lang w:val="en-US" w:eastAsia="zh-CN"/>
              </w:rPr>
              <w:t>2</w:t>
            </w:r>
            <w:r>
              <w:rPr>
                <w:rFonts w:hint="eastAsia" w:ascii="仿宋" w:hAnsi="仿宋" w:eastAsia="仿宋" w:cs="仿宋"/>
                <w:sz w:val="21"/>
                <w:szCs w:val="21"/>
                <w:highlight w:val="none"/>
              </w:rPr>
              <w:t>年1月1日起至</w:t>
            </w:r>
            <w:r>
              <w:rPr>
                <w:rFonts w:hint="eastAsia" w:ascii="仿宋" w:hAnsi="仿宋" w:eastAsia="仿宋" w:cs="仿宋"/>
                <w:sz w:val="21"/>
                <w:szCs w:val="21"/>
                <w:highlight w:val="none"/>
                <w:lang w:val="en-US" w:eastAsia="zh-CN"/>
              </w:rPr>
              <w:t>今</w:t>
            </w:r>
            <w:r>
              <w:rPr>
                <w:rFonts w:hint="eastAsia" w:ascii="仿宋" w:hAnsi="仿宋" w:eastAsia="仿宋" w:cs="仿宋"/>
                <w:sz w:val="21"/>
                <w:szCs w:val="21"/>
                <w:highlight w:val="none"/>
              </w:rPr>
              <w:t>。</w:t>
            </w:r>
          </w:p>
        </w:tc>
      </w:tr>
      <w:tr>
        <w:tblPrEx>
          <w:tblCellMar>
            <w:top w:w="0" w:type="dxa"/>
            <w:left w:w="108" w:type="dxa"/>
            <w:bottom w:w="0" w:type="dxa"/>
            <w:right w:w="108" w:type="dxa"/>
          </w:tblCellMar>
        </w:tblPrEx>
        <w:trPr>
          <w:trHeight w:val="639" w:hRule="atLeast"/>
        </w:trPr>
        <w:tc>
          <w:tcPr>
            <w:tcW w:w="881"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3.5.4</w:t>
            </w:r>
          </w:p>
        </w:tc>
        <w:tc>
          <w:tcPr>
            <w:tcW w:w="2108"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lang w:val="zh-CN" w:eastAsia="zh-CN"/>
              </w:rPr>
            </w:pPr>
            <w:r>
              <w:rPr>
                <w:rFonts w:hint="eastAsia" w:ascii="仿宋" w:hAnsi="仿宋" w:eastAsia="仿宋" w:cs="仿宋"/>
                <w:sz w:val="21"/>
                <w:szCs w:val="21"/>
                <w:highlight w:val="none"/>
                <w:lang w:val="zh-CN"/>
              </w:rPr>
              <w:t>近年发生的诉讼及仲裁情况的年份要求</w:t>
            </w:r>
          </w:p>
        </w:tc>
        <w:tc>
          <w:tcPr>
            <w:tcW w:w="5336"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20</w:t>
            </w:r>
            <w:r>
              <w:rPr>
                <w:rFonts w:hint="eastAsia" w:ascii="仿宋" w:hAnsi="仿宋" w:eastAsia="仿宋" w:cs="仿宋"/>
                <w:sz w:val="21"/>
                <w:szCs w:val="21"/>
                <w:highlight w:val="none"/>
                <w:lang w:val="en-US" w:eastAsia="zh-CN"/>
              </w:rPr>
              <w:t>2</w:t>
            </w:r>
            <w:r>
              <w:rPr>
                <w:rFonts w:hint="eastAsia" w:cs="仿宋"/>
                <w:sz w:val="21"/>
                <w:szCs w:val="21"/>
                <w:highlight w:val="none"/>
                <w:lang w:val="en-US" w:eastAsia="zh-CN"/>
              </w:rPr>
              <w:t>2</w:t>
            </w:r>
            <w:r>
              <w:rPr>
                <w:rFonts w:hint="eastAsia" w:ascii="仿宋" w:hAnsi="仿宋" w:eastAsia="仿宋" w:cs="仿宋"/>
                <w:sz w:val="21"/>
                <w:szCs w:val="21"/>
                <w:highlight w:val="none"/>
              </w:rPr>
              <w:t>年至今，指 20</w:t>
            </w:r>
            <w:r>
              <w:rPr>
                <w:rFonts w:hint="eastAsia" w:cs="仿宋"/>
                <w:sz w:val="21"/>
                <w:szCs w:val="21"/>
                <w:highlight w:val="none"/>
                <w:lang w:val="en-US" w:eastAsia="zh-CN"/>
              </w:rPr>
              <w:t>22</w:t>
            </w:r>
            <w:r>
              <w:rPr>
                <w:rFonts w:hint="eastAsia" w:ascii="仿宋" w:hAnsi="仿宋" w:eastAsia="仿宋" w:cs="仿宋"/>
                <w:sz w:val="21"/>
                <w:szCs w:val="21"/>
                <w:highlight w:val="none"/>
              </w:rPr>
              <w:t>年 1 月 1日起至今。</w:t>
            </w:r>
          </w:p>
        </w:tc>
      </w:tr>
      <w:tr>
        <w:trPr>
          <w:trHeight w:val="454" w:hRule="atLeast"/>
        </w:trPr>
        <w:tc>
          <w:tcPr>
            <w:tcW w:w="881"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default" w:ascii="仿宋" w:hAnsi="仿宋" w:eastAsia="仿宋" w:cs="仿宋"/>
                <w:sz w:val="21"/>
                <w:szCs w:val="21"/>
                <w:highlight w:val="none"/>
                <w:lang w:val="en-US" w:eastAsia="zh-CN"/>
              </w:rPr>
            </w:pPr>
            <w:r>
              <w:rPr>
                <w:rFonts w:hint="eastAsia" w:cs="仿宋"/>
                <w:sz w:val="21"/>
                <w:szCs w:val="21"/>
                <w:highlight w:val="none"/>
                <w:lang w:val="en-US" w:eastAsia="zh-CN"/>
              </w:rPr>
              <w:t>3.5.5</w:t>
            </w:r>
          </w:p>
        </w:tc>
        <w:tc>
          <w:tcPr>
            <w:tcW w:w="2108"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面向中小企业预留情况</w:t>
            </w:r>
          </w:p>
        </w:tc>
        <w:tc>
          <w:tcPr>
            <w:tcW w:w="5336"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rPr>
                <w:rFonts w:hint="eastAsia" w:ascii="仿宋" w:hAnsi="仿宋" w:eastAsia="仿宋" w:cs="仿宋"/>
                <w:sz w:val="21"/>
                <w:szCs w:val="21"/>
                <w:highlight w:val="none"/>
                <w:lang w:val="en-US" w:eastAsia="zh-CN"/>
              </w:rPr>
            </w:pPr>
            <w:r>
              <w:rPr>
                <w:rFonts w:hint="eastAsia" w:cs="仿宋"/>
                <w:sz w:val="21"/>
                <w:szCs w:val="21"/>
                <w:highlight w:val="none"/>
                <w:lang w:val="en-US" w:eastAsia="zh-CN"/>
              </w:rPr>
              <w:t>本项目非专门面向中小企业采购</w:t>
            </w:r>
            <w:r>
              <w:rPr>
                <w:rFonts w:hint="eastAsia" w:ascii="仿宋" w:hAnsi="仿宋" w:eastAsia="仿宋" w:cs="仿宋"/>
                <w:sz w:val="21"/>
                <w:szCs w:val="21"/>
                <w:highlight w:val="none"/>
                <w:lang w:val="en-US" w:eastAsia="zh-CN"/>
              </w:rPr>
              <w:t>，采购标的对应的中小企业划分标准所属行业为“</w:t>
            </w:r>
            <w:r>
              <w:rPr>
                <w:rFonts w:hint="eastAsia" w:cs="仿宋"/>
                <w:sz w:val="21"/>
                <w:szCs w:val="21"/>
                <w:highlight w:val="none"/>
                <w:lang w:val="en-US" w:eastAsia="zh-CN"/>
              </w:rPr>
              <w:t>其他未列明行业</w:t>
            </w:r>
            <w:r>
              <w:rPr>
                <w:rFonts w:hint="eastAsia" w:ascii="仿宋" w:hAnsi="仿宋" w:eastAsia="仿宋" w:cs="仿宋"/>
                <w:sz w:val="21"/>
                <w:szCs w:val="21"/>
                <w:highlight w:val="none"/>
                <w:lang w:val="en-US" w:eastAsia="zh-CN"/>
              </w:rPr>
              <w:t>”</w:t>
            </w:r>
          </w:p>
        </w:tc>
      </w:tr>
      <w:tr>
        <w:tblPrEx>
          <w:tblCellMar>
            <w:top w:w="0" w:type="dxa"/>
            <w:left w:w="108" w:type="dxa"/>
            <w:bottom w:w="0" w:type="dxa"/>
            <w:right w:w="108" w:type="dxa"/>
          </w:tblCellMar>
        </w:tblPrEx>
        <w:trPr>
          <w:trHeight w:val="454" w:hRule="atLeast"/>
        </w:trPr>
        <w:tc>
          <w:tcPr>
            <w:tcW w:w="881"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lang w:val="zh-CN" w:eastAsia="zh-CN"/>
              </w:rPr>
            </w:pPr>
            <w:r>
              <w:rPr>
                <w:rFonts w:hint="eastAsia" w:ascii="仿宋" w:hAnsi="仿宋" w:eastAsia="仿宋" w:cs="仿宋"/>
                <w:sz w:val="21"/>
                <w:szCs w:val="21"/>
                <w:highlight w:val="none"/>
                <w:lang w:val="zh-CN"/>
              </w:rPr>
              <w:t>3.6.1</w:t>
            </w:r>
          </w:p>
        </w:tc>
        <w:tc>
          <w:tcPr>
            <w:tcW w:w="2108"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lang w:val="zh-CN" w:eastAsia="zh-CN"/>
              </w:rPr>
            </w:pPr>
            <w:r>
              <w:rPr>
                <w:rFonts w:hint="eastAsia" w:ascii="仿宋" w:hAnsi="仿宋" w:eastAsia="仿宋" w:cs="仿宋"/>
                <w:sz w:val="21"/>
                <w:szCs w:val="21"/>
                <w:highlight w:val="none"/>
                <w:lang w:val="zh-CN"/>
              </w:rPr>
              <w:t>是否允许递交备选投标方案</w:t>
            </w:r>
          </w:p>
        </w:tc>
        <w:tc>
          <w:tcPr>
            <w:tcW w:w="5336"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rPr>
                <w:rFonts w:hint="eastAsia" w:ascii="仿宋" w:hAnsi="仿宋" w:eastAsia="仿宋" w:cs="仿宋"/>
                <w:sz w:val="21"/>
                <w:szCs w:val="21"/>
                <w:highlight w:val="none"/>
                <w:lang w:val="zh-CN" w:eastAsia="zh-CN"/>
              </w:rPr>
            </w:pPr>
            <w:r>
              <w:rPr>
                <w:rFonts w:hint="eastAsia" w:ascii="仿宋" w:hAnsi="仿宋" w:eastAsia="仿宋" w:cs="仿宋"/>
                <w:sz w:val="21"/>
                <w:szCs w:val="21"/>
                <w:highlight w:val="none"/>
                <w:lang w:val="zh-CN"/>
              </w:rPr>
              <w:t>不允许</w:t>
            </w:r>
          </w:p>
        </w:tc>
      </w:tr>
      <w:tr>
        <w:trPr>
          <w:trHeight w:val="454" w:hRule="atLeast"/>
        </w:trPr>
        <w:tc>
          <w:tcPr>
            <w:tcW w:w="881"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zh-CN"/>
              </w:rPr>
              <w:t>3.7.3（1）</w:t>
            </w:r>
          </w:p>
        </w:tc>
        <w:tc>
          <w:tcPr>
            <w:tcW w:w="2108"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zh-CN"/>
              </w:rPr>
              <w:t>电子签字和（或）盖电子章要求</w:t>
            </w:r>
          </w:p>
        </w:tc>
        <w:tc>
          <w:tcPr>
            <w:tcW w:w="5336"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按系统要求签字盖章，如被授权人无法网上签字或其他无法电子签章或网上签字的情形，需将此页打印签字后扫描上传至投标文件。</w:t>
            </w:r>
          </w:p>
        </w:tc>
      </w:tr>
      <w:tr>
        <w:tblPrEx>
          <w:tblCellMar>
            <w:top w:w="0" w:type="dxa"/>
            <w:left w:w="108" w:type="dxa"/>
            <w:bottom w:w="0" w:type="dxa"/>
            <w:right w:w="108" w:type="dxa"/>
          </w:tblCellMar>
        </w:tblPrEx>
        <w:trPr>
          <w:trHeight w:val="454" w:hRule="atLeast"/>
        </w:trPr>
        <w:tc>
          <w:tcPr>
            <w:tcW w:w="881"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zh-CN"/>
              </w:rPr>
              <w:t>3.7.3（2）</w:t>
            </w:r>
          </w:p>
        </w:tc>
        <w:tc>
          <w:tcPr>
            <w:tcW w:w="2108"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zh-CN"/>
              </w:rPr>
              <w:t>投标文件上传</w:t>
            </w:r>
          </w:p>
        </w:tc>
        <w:tc>
          <w:tcPr>
            <w:tcW w:w="5336"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投标人需在开标时间截止前将电子投标文件政采云平台（网址：http://www.zcygov.cn）上直接上传；逾期未上传的投标文件，招标人不予受理</w:t>
            </w:r>
            <w:r>
              <w:rPr>
                <w:rFonts w:hint="eastAsia" w:ascii="仿宋" w:hAnsi="仿宋" w:eastAsia="仿宋" w:cs="仿宋"/>
                <w:sz w:val="21"/>
                <w:szCs w:val="21"/>
                <w:highlight w:val="none"/>
                <w:lang w:eastAsia="zh-CN"/>
              </w:rPr>
              <w:t>。</w:t>
            </w:r>
          </w:p>
          <w:p>
            <w:pPr>
              <w:bidi w:val="0"/>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电子</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文件：在相应签章处签章。</w:t>
            </w:r>
          </w:p>
          <w:p>
            <w:pPr>
              <w:bidi w:val="0"/>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3、纸质响应文件：</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文件应使用打印、复印或不能擦去的墨水书写，文字要清晰，语言要明确，并按招标文件的要求封面加盖单位公章和由法定代表人（或委托代理人）签名。</w:t>
            </w:r>
          </w:p>
          <w:p>
            <w:pPr>
              <w:bidi w:val="0"/>
              <w:spacing w:line="240" w:lineRule="auto"/>
              <w:rPr>
                <w:rFonts w:hint="eastAsia" w:ascii="仿宋" w:hAnsi="仿宋" w:eastAsia="仿宋" w:cs="仿宋"/>
                <w:sz w:val="21"/>
                <w:szCs w:val="21"/>
                <w:highlight w:val="none"/>
              </w:rPr>
            </w:pPr>
            <w:r>
              <w:rPr>
                <w:rFonts w:hint="eastAsia" w:cs="仿宋"/>
                <w:sz w:val="21"/>
                <w:szCs w:val="21"/>
                <w:highlight w:val="none"/>
                <w:lang w:val="en-US" w:eastAsia="zh-CN"/>
              </w:rPr>
              <w:t>4</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rPr>
              <w:t>投标文件应尽量避免涂改和插字，若为了改正错误必须这样做时，除了按</w:t>
            </w:r>
            <w:r>
              <w:rPr>
                <w:rFonts w:hint="eastAsia" w:ascii="仿宋" w:hAnsi="仿宋" w:eastAsia="仿宋" w:cs="仿宋"/>
                <w:sz w:val="21"/>
                <w:szCs w:val="21"/>
                <w:highlight w:val="none"/>
                <w:lang w:eastAsia="zh-CN"/>
              </w:rPr>
              <w:t>采购人</w:t>
            </w:r>
            <w:r>
              <w:rPr>
                <w:rFonts w:hint="eastAsia" w:ascii="仿宋" w:hAnsi="仿宋" w:eastAsia="仿宋" w:cs="仿宋"/>
                <w:sz w:val="21"/>
                <w:szCs w:val="21"/>
                <w:highlight w:val="none"/>
              </w:rPr>
              <w:t>书面指示进行修改的以外，均应由法定代表人（或委托代理人）在修改处盖章或签名确认。</w:t>
            </w:r>
          </w:p>
        </w:tc>
      </w:tr>
      <w:tr>
        <w:trPr>
          <w:trHeight w:val="454" w:hRule="atLeast"/>
        </w:trPr>
        <w:tc>
          <w:tcPr>
            <w:tcW w:w="881"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lang w:val="zh-CN" w:eastAsia="zh-CN"/>
              </w:rPr>
            </w:pPr>
            <w:r>
              <w:rPr>
                <w:rFonts w:hint="eastAsia" w:ascii="仿宋" w:hAnsi="仿宋" w:eastAsia="仿宋" w:cs="仿宋"/>
                <w:sz w:val="21"/>
                <w:szCs w:val="21"/>
                <w:highlight w:val="none"/>
                <w:lang w:val="zh-CN"/>
              </w:rPr>
              <w:t>4.1.1</w:t>
            </w:r>
          </w:p>
        </w:tc>
        <w:tc>
          <w:tcPr>
            <w:tcW w:w="2108"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lang w:val="zh-CN" w:eastAsia="zh-CN"/>
              </w:rPr>
            </w:pPr>
            <w:r>
              <w:rPr>
                <w:rFonts w:hint="eastAsia" w:ascii="仿宋" w:hAnsi="仿宋" w:eastAsia="仿宋" w:cs="仿宋"/>
                <w:sz w:val="21"/>
                <w:szCs w:val="21"/>
                <w:highlight w:val="none"/>
                <w:lang w:val="zh-CN"/>
              </w:rPr>
              <w:t>投标截止时间</w:t>
            </w:r>
          </w:p>
        </w:tc>
        <w:tc>
          <w:tcPr>
            <w:tcW w:w="5336"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rPr>
                <w:rFonts w:hint="eastAsia" w:ascii="仿宋" w:hAnsi="仿宋" w:eastAsia="仿宋" w:cs="仿宋"/>
                <w:sz w:val="21"/>
                <w:szCs w:val="21"/>
                <w:highlight w:val="none"/>
                <w:lang w:val="en-US" w:eastAsia="zh-CN"/>
              </w:rPr>
            </w:pPr>
            <w:r>
              <w:rPr>
                <w:rFonts w:hint="eastAsia" w:cs="仿宋"/>
                <w:sz w:val="21"/>
                <w:szCs w:val="21"/>
                <w:highlight w:val="none"/>
                <w:lang w:val="zh-CN" w:eastAsia="zh-CN"/>
              </w:rPr>
              <w:t>2025年07月15日09时30分（北京时间）</w:t>
            </w:r>
          </w:p>
        </w:tc>
      </w:tr>
      <w:tr>
        <w:tblPrEx>
          <w:tblCellMar>
            <w:top w:w="0" w:type="dxa"/>
            <w:left w:w="108" w:type="dxa"/>
            <w:bottom w:w="0" w:type="dxa"/>
            <w:right w:w="108" w:type="dxa"/>
          </w:tblCellMar>
        </w:tblPrEx>
        <w:trPr>
          <w:trHeight w:val="454" w:hRule="atLeast"/>
        </w:trPr>
        <w:tc>
          <w:tcPr>
            <w:tcW w:w="881"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4.2.2</w:t>
            </w:r>
          </w:p>
        </w:tc>
        <w:tc>
          <w:tcPr>
            <w:tcW w:w="2108"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递交投标文件</w:t>
            </w:r>
            <w:r>
              <w:rPr>
                <w:rFonts w:hint="eastAsia" w:ascii="仿宋" w:hAnsi="仿宋" w:eastAsia="仿宋" w:cs="仿宋"/>
                <w:sz w:val="21"/>
                <w:szCs w:val="21"/>
                <w:highlight w:val="none"/>
                <w:lang w:val="en-US" w:eastAsia="zh-CN"/>
              </w:rPr>
              <w:t>时间及</w:t>
            </w:r>
            <w:r>
              <w:rPr>
                <w:rFonts w:hint="eastAsia" w:ascii="仿宋" w:hAnsi="仿宋" w:eastAsia="仿宋" w:cs="仿宋"/>
                <w:sz w:val="21"/>
                <w:szCs w:val="21"/>
                <w:highlight w:val="none"/>
                <w:lang w:val="zh-CN"/>
              </w:rPr>
              <w:t>地点</w:t>
            </w:r>
          </w:p>
        </w:tc>
        <w:tc>
          <w:tcPr>
            <w:tcW w:w="5336"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1、投标文件递交的截止时间(投标截止时间，下同)</w:t>
            </w:r>
            <w:r>
              <w:rPr>
                <w:rFonts w:hint="eastAsia" w:cs="仿宋"/>
                <w:sz w:val="21"/>
                <w:szCs w:val="21"/>
                <w:highlight w:val="none"/>
                <w:lang w:val="zh-CN" w:eastAsia="zh-CN"/>
              </w:rPr>
              <w:t>2025年07月15日09时30分（北京时间）</w:t>
            </w:r>
            <w:r>
              <w:rPr>
                <w:rFonts w:hint="eastAsia" w:ascii="仿宋" w:hAnsi="仿宋" w:eastAsia="仿宋" w:cs="仿宋"/>
                <w:sz w:val="21"/>
                <w:szCs w:val="21"/>
                <w:highlight w:val="none"/>
                <w:lang w:val="en-US" w:eastAsia="zh-CN"/>
              </w:rPr>
              <w:t>,网上递交。电子投标文件在政采云平台上直接上传投标文件。逾期未上传的投标文件，招标人不予受理。</w:t>
            </w:r>
          </w:p>
          <w:p>
            <w:pPr>
              <w:bidi w:val="0"/>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CA证书在线解密：供应商投标时，需携带制作投标文件时用来加密的有效数字证书(CA认证)登录“政采云”平台电子开标大厅按规定时间对加密的投标文件进行解密，未能按要求进行解密的，由此产生的后果由投标人自行承担。</w:t>
            </w:r>
          </w:p>
        </w:tc>
      </w:tr>
      <w:tr>
        <w:trPr>
          <w:trHeight w:val="643" w:hRule="atLeast"/>
        </w:trPr>
        <w:tc>
          <w:tcPr>
            <w:tcW w:w="881"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4.2.3</w:t>
            </w:r>
          </w:p>
        </w:tc>
        <w:tc>
          <w:tcPr>
            <w:tcW w:w="2108"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是否退还投标文件</w:t>
            </w:r>
          </w:p>
        </w:tc>
        <w:tc>
          <w:tcPr>
            <w:tcW w:w="5336"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否</w:t>
            </w:r>
          </w:p>
          <w:p>
            <w:pPr>
              <w:bidi w:val="0"/>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□是</w:t>
            </w:r>
          </w:p>
        </w:tc>
      </w:tr>
      <w:tr>
        <w:tblPrEx>
          <w:tblCellMar>
            <w:top w:w="0" w:type="dxa"/>
            <w:left w:w="108" w:type="dxa"/>
            <w:bottom w:w="0" w:type="dxa"/>
            <w:right w:w="108" w:type="dxa"/>
          </w:tblCellMar>
        </w:tblPrEx>
        <w:trPr>
          <w:trHeight w:val="454" w:hRule="atLeast"/>
        </w:trPr>
        <w:tc>
          <w:tcPr>
            <w:tcW w:w="881" w:type="dxa"/>
            <w:tcBorders>
              <w:top w:val="single" w:color="auto" w:sz="4" w:space="0"/>
              <w:left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5.1</w:t>
            </w:r>
          </w:p>
        </w:tc>
        <w:tc>
          <w:tcPr>
            <w:tcW w:w="2108" w:type="dxa"/>
            <w:tcBorders>
              <w:top w:val="single" w:color="auto" w:sz="4" w:space="0"/>
              <w:left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开标时间和地点</w:t>
            </w:r>
          </w:p>
        </w:tc>
        <w:tc>
          <w:tcPr>
            <w:tcW w:w="5336" w:type="dxa"/>
            <w:tcBorders>
              <w:top w:val="single" w:color="auto" w:sz="4" w:space="0"/>
              <w:left w:val="single" w:color="auto" w:sz="4" w:space="0"/>
              <w:right w:val="single" w:color="auto" w:sz="4" w:space="0"/>
            </w:tcBorders>
            <w:noWrap w:val="0"/>
            <w:vAlign w:val="center"/>
          </w:tcPr>
          <w:p>
            <w:pPr>
              <w:bidi w:val="0"/>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开标时间：</w:t>
            </w:r>
            <w:r>
              <w:rPr>
                <w:rFonts w:hint="eastAsia" w:cs="仿宋"/>
                <w:sz w:val="21"/>
                <w:szCs w:val="21"/>
                <w:highlight w:val="none"/>
                <w:lang w:val="zh-CN" w:eastAsia="zh-CN"/>
              </w:rPr>
              <w:t>2025年07月15日09时30分（北京时间）</w:t>
            </w:r>
          </w:p>
          <w:p>
            <w:pPr>
              <w:bidi w:val="0"/>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开标地点：吉林市解放西路16号政务服务中心</w:t>
            </w:r>
            <w:r>
              <w:rPr>
                <w:rFonts w:hint="eastAsia" w:cs="仿宋"/>
                <w:sz w:val="21"/>
                <w:szCs w:val="21"/>
                <w:highlight w:val="none"/>
                <w:lang w:val="en-US" w:eastAsia="zh-CN"/>
              </w:rPr>
              <w:t>8</w:t>
            </w:r>
            <w:r>
              <w:rPr>
                <w:rFonts w:hint="eastAsia" w:ascii="仿宋" w:hAnsi="仿宋" w:eastAsia="仿宋" w:cs="仿宋"/>
                <w:sz w:val="21"/>
                <w:szCs w:val="21"/>
                <w:highlight w:val="none"/>
              </w:rPr>
              <w:t>楼开标室</w:t>
            </w:r>
          </w:p>
        </w:tc>
      </w:tr>
      <w:tr>
        <w:trPr>
          <w:trHeight w:val="454" w:hRule="atLeast"/>
        </w:trPr>
        <w:tc>
          <w:tcPr>
            <w:tcW w:w="881" w:type="dxa"/>
            <w:tcBorders>
              <w:top w:val="single" w:color="auto" w:sz="4" w:space="0"/>
              <w:left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5.2</w:t>
            </w:r>
          </w:p>
        </w:tc>
        <w:tc>
          <w:tcPr>
            <w:tcW w:w="2108" w:type="dxa"/>
            <w:tcBorders>
              <w:top w:val="single" w:color="auto" w:sz="4" w:space="0"/>
              <w:left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开标程序</w:t>
            </w:r>
          </w:p>
        </w:tc>
        <w:tc>
          <w:tcPr>
            <w:tcW w:w="5336" w:type="dxa"/>
            <w:tcBorders>
              <w:top w:val="single" w:color="auto" w:sz="4" w:space="0"/>
              <w:left w:val="single" w:color="auto" w:sz="4" w:space="0"/>
              <w:right w:val="single" w:color="auto" w:sz="4" w:space="0"/>
            </w:tcBorders>
            <w:noWrap w:val="0"/>
            <w:vAlign w:val="center"/>
          </w:tcPr>
          <w:p>
            <w:pPr>
              <w:bidi w:val="0"/>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开标顺序：按投标文件电子递交顺序进行</w:t>
            </w:r>
          </w:p>
        </w:tc>
      </w:tr>
      <w:tr>
        <w:tblPrEx>
          <w:tblCellMar>
            <w:top w:w="0" w:type="dxa"/>
            <w:left w:w="108" w:type="dxa"/>
            <w:bottom w:w="0" w:type="dxa"/>
            <w:right w:w="108" w:type="dxa"/>
          </w:tblCellMar>
        </w:tblPrEx>
        <w:trPr>
          <w:trHeight w:val="454" w:hRule="atLeast"/>
        </w:trPr>
        <w:tc>
          <w:tcPr>
            <w:tcW w:w="881" w:type="dxa"/>
            <w:tcBorders>
              <w:top w:val="single" w:color="auto" w:sz="4" w:space="0"/>
              <w:left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6.1.1</w:t>
            </w:r>
          </w:p>
        </w:tc>
        <w:tc>
          <w:tcPr>
            <w:tcW w:w="2108" w:type="dxa"/>
            <w:tcBorders>
              <w:top w:val="single" w:color="auto" w:sz="4" w:space="0"/>
              <w:left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评标委员会的组建</w:t>
            </w:r>
          </w:p>
        </w:tc>
        <w:tc>
          <w:tcPr>
            <w:tcW w:w="5336" w:type="dxa"/>
            <w:tcBorders>
              <w:top w:val="single" w:color="auto" w:sz="4" w:space="0"/>
              <w:left w:val="single" w:color="auto" w:sz="4" w:space="0"/>
              <w:right w:val="single" w:color="auto" w:sz="4" w:space="0"/>
            </w:tcBorders>
            <w:noWrap w:val="0"/>
            <w:vAlign w:val="center"/>
          </w:tcPr>
          <w:p>
            <w:pPr>
              <w:bidi w:val="0"/>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评标委员会构成：</w:t>
            </w:r>
            <w:r>
              <w:rPr>
                <w:rFonts w:hint="eastAsia" w:cs="仿宋"/>
                <w:sz w:val="21"/>
                <w:szCs w:val="21"/>
                <w:highlight w:val="none"/>
                <w:lang w:val="en-US" w:eastAsia="zh-CN"/>
              </w:rPr>
              <w:t>5</w:t>
            </w:r>
            <w:r>
              <w:rPr>
                <w:rFonts w:hint="eastAsia" w:ascii="仿宋" w:hAnsi="仿宋" w:eastAsia="仿宋" w:cs="仿宋"/>
                <w:sz w:val="21"/>
                <w:szCs w:val="21"/>
                <w:highlight w:val="none"/>
              </w:rPr>
              <w:t>人，其中招标人代表</w:t>
            </w:r>
            <w:bookmarkStart w:id="27" w:name="EBcc387c5aa187475cacda6c5356ff7425"/>
            <w:r>
              <w:rPr>
                <w:rFonts w:hint="eastAsia" w:ascii="仿宋" w:hAnsi="仿宋" w:eastAsia="仿宋" w:cs="仿宋"/>
                <w:sz w:val="21"/>
                <w:szCs w:val="21"/>
                <w:highlight w:val="none"/>
              </w:rPr>
              <w:t>0</w:t>
            </w:r>
            <w:bookmarkEnd w:id="27"/>
            <w:r>
              <w:rPr>
                <w:rFonts w:hint="eastAsia" w:ascii="仿宋" w:hAnsi="仿宋" w:eastAsia="仿宋" w:cs="仿宋"/>
                <w:sz w:val="21"/>
                <w:szCs w:val="21"/>
                <w:highlight w:val="none"/>
              </w:rPr>
              <w:t>-1人，专家</w:t>
            </w:r>
            <w:bookmarkStart w:id="28" w:name="EB11f222dec9764b00acd1f958c8c242bf"/>
            <w:r>
              <w:rPr>
                <w:rFonts w:hint="eastAsia" w:cs="仿宋"/>
                <w:sz w:val="21"/>
                <w:szCs w:val="21"/>
                <w:highlight w:val="none"/>
                <w:lang w:val="en-US" w:eastAsia="zh-CN"/>
              </w:rPr>
              <w:t>4</w:t>
            </w:r>
            <w:r>
              <w:rPr>
                <w:rFonts w:hint="eastAsia" w:ascii="仿宋" w:hAnsi="仿宋" w:eastAsia="仿宋" w:cs="仿宋"/>
                <w:sz w:val="21"/>
                <w:szCs w:val="21"/>
                <w:highlight w:val="none"/>
              </w:rPr>
              <w:t>-</w:t>
            </w:r>
            <w:bookmarkEnd w:id="28"/>
            <w:r>
              <w:rPr>
                <w:rFonts w:hint="eastAsia" w:cs="仿宋"/>
                <w:sz w:val="21"/>
                <w:szCs w:val="21"/>
                <w:highlight w:val="none"/>
                <w:lang w:val="en-US" w:eastAsia="zh-CN"/>
              </w:rPr>
              <w:t>5</w:t>
            </w:r>
            <w:r>
              <w:rPr>
                <w:rFonts w:hint="eastAsia" w:ascii="仿宋" w:hAnsi="仿宋" w:eastAsia="仿宋" w:cs="仿宋"/>
                <w:sz w:val="21"/>
                <w:szCs w:val="21"/>
                <w:highlight w:val="none"/>
              </w:rPr>
              <w:t>人；</w:t>
            </w:r>
          </w:p>
          <w:p>
            <w:pPr>
              <w:bidi w:val="0"/>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评标专家确定方式：在政府采购主管部门认定的评标专家库中随机抽取。</w:t>
            </w:r>
          </w:p>
        </w:tc>
      </w:tr>
      <w:tr>
        <w:trPr>
          <w:trHeight w:val="454" w:hRule="atLeast"/>
        </w:trPr>
        <w:tc>
          <w:tcPr>
            <w:tcW w:w="881" w:type="dxa"/>
            <w:tcBorders>
              <w:top w:val="single" w:color="auto" w:sz="4" w:space="0"/>
              <w:left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6.3.2</w:t>
            </w:r>
          </w:p>
        </w:tc>
        <w:tc>
          <w:tcPr>
            <w:tcW w:w="2108" w:type="dxa"/>
            <w:tcBorders>
              <w:top w:val="single" w:color="auto" w:sz="4" w:space="0"/>
              <w:left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是否授权评标委员会确定中标人</w:t>
            </w:r>
          </w:p>
        </w:tc>
        <w:tc>
          <w:tcPr>
            <w:tcW w:w="5336" w:type="dxa"/>
            <w:tcBorders>
              <w:top w:val="single" w:color="auto" w:sz="4" w:space="0"/>
              <w:left w:val="single" w:color="auto" w:sz="4" w:space="0"/>
              <w:right w:val="single" w:color="auto" w:sz="4" w:space="0"/>
            </w:tcBorders>
            <w:noWrap w:val="0"/>
            <w:vAlign w:val="center"/>
          </w:tcPr>
          <w:p>
            <w:pPr>
              <w:bidi w:val="0"/>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sym w:font="Wingdings 2" w:char="00A3"/>
            </w:r>
            <w:r>
              <w:rPr>
                <w:rFonts w:hint="eastAsia" w:ascii="仿宋" w:hAnsi="仿宋" w:eastAsia="仿宋" w:cs="仿宋"/>
                <w:sz w:val="21"/>
                <w:szCs w:val="21"/>
                <w:highlight w:val="none"/>
              </w:rPr>
              <w:t>是</w:t>
            </w:r>
          </w:p>
          <w:p>
            <w:pPr>
              <w:bidi w:val="0"/>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sym w:font="Wingdings 2" w:char="0052"/>
            </w:r>
            <w:r>
              <w:rPr>
                <w:rFonts w:hint="eastAsia" w:ascii="仿宋" w:hAnsi="仿宋" w:eastAsia="仿宋" w:cs="仿宋"/>
                <w:sz w:val="21"/>
                <w:szCs w:val="21"/>
                <w:highlight w:val="none"/>
              </w:rPr>
              <w:t>否，推荐的中标候选人数：3人。</w:t>
            </w:r>
          </w:p>
          <w:p>
            <w:pPr>
              <w:bidi w:val="0"/>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lang w:val="zh-CN" w:eastAsia="zh-CN"/>
              </w:rPr>
              <w:t>评标委员会推荐初步评审合格，综合评审得分由高到低排名第一、第二、第三的投标人为中标候选人。</w:t>
            </w:r>
          </w:p>
        </w:tc>
      </w:tr>
      <w:tr>
        <w:tblPrEx>
          <w:tblCellMar>
            <w:top w:w="0" w:type="dxa"/>
            <w:left w:w="108" w:type="dxa"/>
            <w:bottom w:w="0" w:type="dxa"/>
            <w:right w:w="108" w:type="dxa"/>
          </w:tblCellMar>
        </w:tblPrEx>
        <w:trPr>
          <w:trHeight w:val="454" w:hRule="atLeast"/>
        </w:trPr>
        <w:tc>
          <w:tcPr>
            <w:tcW w:w="881" w:type="dxa"/>
            <w:tcBorders>
              <w:top w:val="single" w:color="auto" w:sz="4" w:space="0"/>
              <w:left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7.</w:t>
            </w:r>
            <w:r>
              <w:rPr>
                <w:rFonts w:hint="eastAsia" w:ascii="仿宋" w:hAnsi="仿宋" w:eastAsia="仿宋" w:cs="仿宋"/>
                <w:sz w:val="21"/>
                <w:szCs w:val="21"/>
                <w:highlight w:val="none"/>
                <w:lang w:val="en-US" w:eastAsia="zh-CN"/>
              </w:rPr>
              <w:t>1</w:t>
            </w:r>
          </w:p>
        </w:tc>
        <w:tc>
          <w:tcPr>
            <w:tcW w:w="2108" w:type="dxa"/>
            <w:tcBorders>
              <w:top w:val="single" w:color="auto" w:sz="4" w:space="0"/>
              <w:left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zh-CN"/>
              </w:rPr>
              <w:t>中标人公示媒介及期限</w:t>
            </w:r>
          </w:p>
        </w:tc>
        <w:tc>
          <w:tcPr>
            <w:tcW w:w="5336" w:type="dxa"/>
            <w:tcBorders>
              <w:top w:val="single" w:color="auto" w:sz="4" w:space="0"/>
              <w:left w:val="single" w:color="auto" w:sz="4" w:space="0"/>
              <w:right w:val="single" w:color="auto" w:sz="4" w:space="0"/>
            </w:tcBorders>
            <w:noWrap w:val="0"/>
            <w:vAlign w:val="center"/>
          </w:tcPr>
          <w:p>
            <w:pPr>
              <w:bidi w:val="0"/>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公示媒介：“政采云”平台(http：//www.zcygov.cn)、中国政府采购网、</w:t>
            </w:r>
            <w:r>
              <w:rPr>
                <w:rFonts w:hint="eastAsia" w:ascii="仿宋" w:hAnsi="仿宋" w:eastAsia="仿宋" w:cs="仿宋"/>
                <w:sz w:val="21"/>
                <w:szCs w:val="21"/>
                <w:highlight w:val="none"/>
                <w:lang w:eastAsia="zh-CN"/>
              </w:rPr>
              <w:t>中国采购与招标网</w:t>
            </w:r>
            <w:r>
              <w:rPr>
                <w:rFonts w:hint="eastAsia" w:ascii="仿宋" w:hAnsi="仿宋" w:eastAsia="仿宋" w:cs="仿宋"/>
                <w:sz w:val="21"/>
                <w:szCs w:val="21"/>
                <w:highlight w:val="none"/>
              </w:rPr>
              <w:t>；</w:t>
            </w:r>
          </w:p>
          <w:p>
            <w:pPr>
              <w:bidi w:val="0"/>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公示期限：1个工作日；</w:t>
            </w:r>
          </w:p>
          <w:p>
            <w:pPr>
              <w:bidi w:val="0"/>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公示的其他内容：无。</w:t>
            </w:r>
          </w:p>
        </w:tc>
      </w:tr>
      <w:tr>
        <w:trPr>
          <w:trHeight w:val="454" w:hRule="atLeast"/>
        </w:trPr>
        <w:tc>
          <w:tcPr>
            <w:tcW w:w="881"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8</w:t>
            </w:r>
          </w:p>
        </w:tc>
        <w:tc>
          <w:tcPr>
            <w:tcW w:w="2108"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电子招标投标</w:t>
            </w:r>
          </w:p>
        </w:tc>
        <w:tc>
          <w:tcPr>
            <w:tcW w:w="5336"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□否</w:t>
            </w:r>
          </w:p>
          <w:p>
            <w:pPr>
              <w:bidi w:val="0"/>
              <w:spacing w:line="240" w:lineRule="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是，具体要求：详见</w:t>
            </w:r>
            <w:r>
              <w:rPr>
                <w:rFonts w:hint="eastAsia" w:ascii="仿宋" w:hAnsi="仿宋" w:eastAsia="仿宋" w:cs="仿宋"/>
                <w:sz w:val="21"/>
                <w:szCs w:val="21"/>
                <w:highlight w:val="none"/>
                <w:lang w:eastAsia="zh-CN"/>
              </w:rPr>
              <w:t>招标文件</w:t>
            </w:r>
          </w:p>
        </w:tc>
      </w:tr>
      <w:tr>
        <w:tblPrEx>
          <w:tblCellMar>
            <w:top w:w="0" w:type="dxa"/>
            <w:left w:w="108" w:type="dxa"/>
            <w:bottom w:w="0" w:type="dxa"/>
            <w:right w:w="108" w:type="dxa"/>
          </w:tblCellMar>
        </w:tblPrEx>
        <w:trPr>
          <w:trHeight w:val="454" w:hRule="atLeast"/>
        </w:trPr>
        <w:tc>
          <w:tcPr>
            <w:tcW w:w="881"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9</w:t>
            </w:r>
          </w:p>
        </w:tc>
        <w:tc>
          <w:tcPr>
            <w:tcW w:w="7444" w:type="dxa"/>
            <w:gridSpan w:val="2"/>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需要补充的其他内容</w:t>
            </w:r>
          </w:p>
        </w:tc>
      </w:tr>
      <w:tr>
        <w:trPr>
          <w:trHeight w:val="454" w:hRule="atLeast"/>
        </w:trPr>
        <w:tc>
          <w:tcPr>
            <w:tcW w:w="881"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9.1</w:t>
            </w:r>
          </w:p>
        </w:tc>
        <w:tc>
          <w:tcPr>
            <w:tcW w:w="2108"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考察中标候选人</w:t>
            </w:r>
          </w:p>
        </w:tc>
        <w:tc>
          <w:tcPr>
            <w:tcW w:w="5336"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lang w:val="zh-CN"/>
              </w:rPr>
              <w:t>采购人在招投标管理机构的监督下，可以对中标候选人进行考察</w:t>
            </w:r>
          </w:p>
        </w:tc>
      </w:tr>
      <w:tr>
        <w:tblPrEx>
          <w:tblCellMar>
            <w:top w:w="0" w:type="dxa"/>
            <w:left w:w="108" w:type="dxa"/>
            <w:bottom w:w="0" w:type="dxa"/>
            <w:right w:w="108" w:type="dxa"/>
          </w:tblCellMar>
        </w:tblPrEx>
        <w:trPr>
          <w:trHeight w:val="454" w:hRule="atLeast"/>
        </w:trPr>
        <w:tc>
          <w:tcPr>
            <w:tcW w:w="881"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9.2</w:t>
            </w:r>
          </w:p>
        </w:tc>
        <w:tc>
          <w:tcPr>
            <w:tcW w:w="2108"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资格审查方式</w:t>
            </w:r>
          </w:p>
        </w:tc>
        <w:tc>
          <w:tcPr>
            <w:tcW w:w="5336"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资格后审</w:t>
            </w:r>
          </w:p>
        </w:tc>
      </w:tr>
      <w:tr>
        <w:trPr>
          <w:trHeight w:val="454" w:hRule="atLeast"/>
        </w:trPr>
        <w:tc>
          <w:tcPr>
            <w:tcW w:w="881"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9.3</w:t>
            </w:r>
          </w:p>
        </w:tc>
        <w:tc>
          <w:tcPr>
            <w:tcW w:w="2108"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评审办法</w:t>
            </w:r>
          </w:p>
        </w:tc>
        <w:tc>
          <w:tcPr>
            <w:tcW w:w="5336"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综合评标法</w:t>
            </w:r>
          </w:p>
        </w:tc>
      </w:tr>
      <w:tr>
        <w:tblPrEx>
          <w:tblCellMar>
            <w:top w:w="0" w:type="dxa"/>
            <w:left w:w="108" w:type="dxa"/>
            <w:bottom w:w="0" w:type="dxa"/>
            <w:right w:w="108" w:type="dxa"/>
          </w:tblCellMar>
        </w:tblPrEx>
        <w:trPr>
          <w:trHeight w:val="454" w:hRule="atLeast"/>
        </w:trPr>
        <w:tc>
          <w:tcPr>
            <w:tcW w:w="881"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9.4</w:t>
            </w:r>
          </w:p>
        </w:tc>
        <w:tc>
          <w:tcPr>
            <w:tcW w:w="2108"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低于成本报价</w:t>
            </w:r>
          </w:p>
        </w:tc>
        <w:tc>
          <w:tcPr>
            <w:tcW w:w="5336"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依据财政部第</w:t>
            </w:r>
            <w:r>
              <w:rPr>
                <w:rFonts w:hint="eastAsia" w:ascii="仿宋" w:hAnsi="仿宋" w:eastAsia="仿宋" w:cs="仿宋"/>
                <w:sz w:val="21"/>
                <w:szCs w:val="21"/>
                <w:highlight w:val="none"/>
              </w:rPr>
              <w:t>87号令第60条：</w:t>
            </w:r>
            <w:r>
              <w:rPr>
                <w:rFonts w:hint="eastAsia" w:ascii="仿宋" w:hAnsi="仿宋" w:eastAsia="仿宋" w:cs="仿宋"/>
                <w:sz w:val="21"/>
                <w:szCs w:val="21"/>
                <w:highlight w:val="none"/>
                <w:lang w:val="zh-CN"/>
              </w:rPr>
              <w:t>评标委员会发现投标人的报价明显低于其他通过符合性审查投标人的报价，有可能影响产品质量或者不能诚信履约的，应当要求该投标人在评标现场合理时间内作出书面说明并提供相应的证明材料。投标人不能合理说明或者不能提供相应证明材料的，由评标委员会认定该投标人以低于成本报价竞标，其投标将被否决。</w:t>
            </w:r>
          </w:p>
        </w:tc>
      </w:tr>
      <w:tr>
        <w:trPr>
          <w:trHeight w:val="454" w:hRule="atLeast"/>
        </w:trPr>
        <w:tc>
          <w:tcPr>
            <w:tcW w:w="881"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9.5</w:t>
            </w:r>
          </w:p>
        </w:tc>
        <w:tc>
          <w:tcPr>
            <w:tcW w:w="2108"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招标代理费</w:t>
            </w:r>
          </w:p>
        </w:tc>
        <w:tc>
          <w:tcPr>
            <w:tcW w:w="5336"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收费依据：按照国家发展计划委员会“发改价格【2015】299号”文要求。</w:t>
            </w:r>
          </w:p>
          <w:p>
            <w:pPr>
              <w:bidi w:val="0"/>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收取对象：中标人</w:t>
            </w:r>
          </w:p>
          <w:p>
            <w:pPr>
              <w:bidi w:val="0"/>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收费标准：</w:t>
            </w:r>
            <w:r>
              <w:rPr>
                <w:rFonts w:hint="eastAsia" w:cs="仿宋"/>
                <w:sz w:val="21"/>
                <w:szCs w:val="21"/>
                <w:highlight w:val="none"/>
                <w:lang w:val="en-US" w:eastAsia="zh-CN"/>
              </w:rPr>
              <w:t>按照中标金额1.2%收取</w:t>
            </w:r>
          </w:p>
        </w:tc>
      </w:tr>
      <w:tr>
        <w:tblPrEx>
          <w:tblCellMar>
            <w:top w:w="0" w:type="dxa"/>
            <w:left w:w="108" w:type="dxa"/>
            <w:bottom w:w="0" w:type="dxa"/>
            <w:right w:w="108" w:type="dxa"/>
          </w:tblCellMar>
        </w:tblPrEx>
        <w:trPr>
          <w:trHeight w:val="454" w:hRule="atLeast"/>
        </w:trPr>
        <w:tc>
          <w:tcPr>
            <w:tcW w:w="881"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9.6</w:t>
            </w:r>
          </w:p>
        </w:tc>
        <w:tc>
          <w:tcPr>
            <w:tcW w:w="2108"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采购代理机构项目负责人</w:t>
            </w:r>
          </w:p>
        </w:tc>
        <w:tc>
          <w:tcPr>
            <w:tcW w:w="5336"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rPr>
                <w:rFonts w:hint="eastAsia" w:ascii="仿宋" w:hAnsi="仿宋" w:eastAsia="仿宋" w:cs="仿宋"/>
                <w:sz w:val="21"/>
                <w:szCs w:val="21"/>
                <w:highlight w:val="none"/>
                <w:lang w:eastAsia="zh-CN"/>
              </w:rPr>
            </w:pPr>
            <w:r>
              <w:rPr>
                <w:rFonts w:hint="eastAsia" w:cs="仿宋"/>
                <w:sz w:val="21"/>
                <w:szCs w:val="21"/>
                <w:highlight w:val="none"/>
                <w:lang w:eastAsia="zh-CN"/>
              </w:rPr>
              <w:t>岳清莹</w:t>
            </w:r>
          </w:p>
        </w:tc>
      </w:tr>
      <w:tr>
        <w:trPr>
          <w:trHeight w:val="454" w:hRule="atLeast"/>
        </w:trPr>
        <w:tc>
          <w:tcPr>
            <w:tcW w:w="881"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9.7</w:t>
            </w:r>
          </w:p>
        </w:tc>
        <w:tc>
          <w:tcPr>
            <w:tcW w:w="2108"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付款方式</w:t>
            </w:r>
          </w:p>
        </w:tc>
        <w:tc>
          <w:tcPr>
            <w:tcW w:w="5336"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以实际合同为准</w:t>
            </w:r>
          </w:p>
        </w:tc>
      </w:tr>
      <w:tr>
        <w:tblPrEx>
          <w:tblCellMar>
            <w:top w:w="0" w:type="dxa"/>
            <w:left w:w="108" w:type="dxa"/>
            <w:bottom w:w="0" w:type="dxa"/>
            <w:right w:w="108" w:type="dxa"/>
          </w:tblCellMar>
        </w:tblPrEx>
        <w:trPr>
          <w:trHeight w:val="454" w:hRule="atLeast"/>
        </w:trPr>
        <w:tc>
          <w:tcPr>
            <w:tcW w:w="8325" w:type="dxa"/>
            <w:gridSpan w:val="3"/>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lang w:eastAsia="zh-CN"/>
              </w:rPr>
            </w:pPr>
            <w:bookmarkStart w:id="29" w:name="OLE_LINK29"/>
            <w:bookmarkStart w:id="30" w:name="OLE_LINK27"/>
            <w:bookmarkStart w:id="31" w:name="OLE_LINK28"/>
            <w:r>
              <w:rPr>
                <w:rFonts w:hint="eastAsia" w:ascii="仿宋" w:hAnsi="仿宋" w:eastAsia="仿宋" w:cs="仿宋"/>
                <w:sz w:val="21"/>
                <w:szCs w:val="21"/>
                <w:highlight w:val="none"/>
                <w:lang w:eastAsia="zh-CN"/>
              </w:rPr>
              <w:t>注：投标人须知前附表”用于修改、补充和完善正文中的相关事宜，前附表与正文如有冲突以正文为准</w:t>
            </w:r>
            <w:bookmarkEnd w:id="29"/>
            <w:bookmarkEnd w:id="30"/>
            <w:bookmarkEnd w:id="31"/>
            <w:r>
              <w:rPr>
                <w:rFonts w:hint="eastAsia" w:ascii="仿宋" w:hAnsi="仿宋" w:eastAsia="仿宋" w:cs="仿宋"/>
                <w:sz w:val="21"/>
                <w:szCs w:val="21"/>
                <w:highlight w:val="none"/>
                <w:lang w:eastAsia="zh-CN"/>
              </w:rPr>
              <w:t>，招标公告与招标文件不符之处以招标文件为准。</w:t>
            </w:r>
          </w:p>
        </w:tc>
      </w:tr>
      <w:tr>
        <w:trPr>
          <w:trHeight w:val="454" w:hRule="atLeast"/>
        </w:trPr>
        <w:tc>
          <w:tcPr>
            <w:tcW w:w="881"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特别提醒</w:t>
            </w:r>
          </w:p>
        </w:tc>
        <w:tc>
          <w:tcPr>
            <w:tcW w:w="7444" w:type="dxa"/>
            <w:gridSpan w:val="2"/>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left"/>
              <w:rPr>
                <w:rFonts w:hint="eastAsia" w:ascii="仿宋" w:hAnsi="仿宋" w:eastAsia="仿宋" w:cs="仿宋"/>
                <w:sz w:val="21"/>
                <w:szCs w:val="21"/>
                <w:highlight w:val="none"/>
                <w:lang w:val="zh-CN" w:eastAsia="zh-CN"/>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lang w:val="zh-CN"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bidi w:val="0"/>
              <w:spacing w:line="240" w:lineRule="auto"/>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lang w:val="zh-CN" w:eastAsia="zh-CN"/>
              </w:rPr>
              <w:t>投标方应为响应文件中所提供的复印件材料真实性负责，一经查实如有虚假伪造，采购人有权取消投标人的投标资格，签订合同的，采购人有权单方面取消合同并按照相关法律法规追究投标方所造成的损失。</w:t>
            </w:r>
          </w:p>
        </w:tc>
      </w:tr>
      <w:tr>
        <w:tblPrEx>
          <w:tblCellMar>
            <w:top w:w="0" w:type="dxa"/>
            <w:left w:w="108" w:type="dxa"/>
            <w:bottom w:w="0" w:type="dxa"/>
            <w:right w:w="108" w:type="dxa"/>
          </w:tblCellMar>
        </w:tblPrEx>
        <w:trPr>
          <w:trHeight w:val="454" w:hRule="atLeast"/>
        </w:trPr>
        <w:tc>
          <w:tcPr>
            <w:tcW w:w="881"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电子标操作说明</w:t>
            </w:r>
          </w:p>
        </w:tc>
        <w:tc>
          <w:tcPr>
            <w:tcW w:w="7444" w:type="dxa"/>
            <w:gridSpan w:val="2"/>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left"/>
              <w:rPr>
                <w:rFonts w:hint="eastAsia" w:ascii="仿宋" w:hAnsi="仿宋" w:eastAsia="仿宋" w:cs="仿宋"/>
                <w:sz w:val="21"/>
                <w:szCs w:val="21"/>
                <w:highlight w:val="none"/>
                <w:lang w:val="zh-CN" w:eastAsia="zh-CN"/>
              </w:rPr>
            </w:pPr>
            <w:r>
              <w:rPr>
                <w:rFonts w:hint="eastAsia" w:ascii="仿宋" w:hAnsi="仿宋" w:eastAsia="仿宋" w:cs="仿宋"/>
                <w:sz w:val="21"/>
                <w:szCs w:val="21"/>
                <w:highlight w:val="none"/>
                <w:lang w:val="zh-CN" w:eastAsia="zh-CN"/>
              </w:rPr>
              <w:t>本次招标实行不见面开标，具体要求如下：</w:t>
            </w:r>
          </w:p>
          <w:p>
            <w:pPr>
              <w:bidi w:val="0"/>
              <w:spacing w:line="240" w:lineRule="auto"/>
              <w:jc w:val="left"/>
              <w:rPr>
                <w:rFonts w:hint="eastAsia" w:ascii="仿宋" w:hAnsi="仿宋" w:eastAsia="仿宋" w:cs="仿宋"/>
                <w:sz w:val="21"/>
                <w:szCs w:val="21"/>
                <w:highlight w:val="none"/>
                <w:lang w:val="zh-CN" w:eastAsia="zh-CN"/>
              </w:rPr>
            </w:pPr>
            <w:r>
              <w:rPr>
                <w:rFonts w:hint="eastAsia" w:ascii="仿宋" w:hAnsi="仿宋" w:eastAsia="仿宋" w:cs="仿宋"/>
                <w:sz w:val="21"/>
                <w:szCs w:val="21"/>
                <w:highlight w:val="none"/>
                <w:lang w:val="zh-CN" w:eastAsia="zh-CN"/>
              </w:rPr>
              <w:t>(1)投标文件提交方式：本项目为全流程电子化项目，通过“政采云”平台(http：//www.zcygov.cn)实行在线电子投标，供应商应先安装“政采云电子交易客户端”(请自行前往“政采云”平台进行下载)，并按照本项目招标文件和“政采云”平台的要求编制、加密后在投标截止时间前通过网络上传至吉林市“政采云”平台，供应商在“政采云”平台提交电子版投标文件时，请填写参加远程开标活动经办人联系方式。</w:t>
            </w:r>
          </w:p>
          <w:p>
            <w:pPr>
              <w:bidi w:val="0"/>
              <w:spacing w:line="240" w:lineRule="auto"/>
              <w:jc w:val="left"/>
              <w:rPr>
                <w:rFonts w:hint="eastAsia" w:ascii="仿宋" w:hAnsi="仿宋" w:eastAsia="仿宋" w:cs="仿宋"/>
                <w:sz w:val="21"/>
                <w:szCs w:val="21"/>
                <w:highlight w:val="none"/>
                <w:lang w:val="zh-CN" w:eastAsia="zh-CN"/>
              </w:rPr>
            </w:pPr>
            <w:r>
              <w:rPr>
                <w:rFonts w:hint="eastAsia" w:ascii="仿宋" w:hAnsi="仿宋" w:eastAsia="仿宋" w:cs="仿宋"/>
                <w:sz w:val="21"/>
                <w:szCs w:val="21"/>
                <w:highlight w:val="none"/>
                <w:lang w:val="zh-CN" w:eastAsia="zh-CN"/>
              </w:rPr>
              <w:t>(2)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具体办理流程请致电当地财政局）</w:t>
            </w:r>
          </w:p>
          <w:p>
            <w:pPr>
              <w:bidi w:val="0"/>
              <w:spacing w:line="240" w:lineRule="auto"/>
              <w:jc w:val="left"/>
              <w:rPr>
                <w:rFonts w:hint="eastAsia" w:ascii="仿宋" w:hAnsi="仿宋" w:eastAsia="仿宋" w:cs="仿宋"/>
                <w:sz w:val="21"/>
                <w:szCs w:val="21"/>
                <w:highlight w:val="none"/>
                <w:lang w:val="zh-CN" w:eastAsia="zh-CN"/>
              </w:rPr>
            </w:pPr>
            <w:r>
              <w:rPr>
                <w:rFonts w:hint="eastAsia" w:ascii="仿宋" w:hAnsi="仿宋" w:eastAsia="仿宋" w:cs="仿宋"/>
                <w:sz w:val="21"/>
                <w:szCs w:val="21"/>
                <w:highlight w:val="none"/>
                <w:lang w:val="zh-CN" w:eastAsia="zh-CN"/>
              </w:rPr>
              <w:t>(3)为确保网上操作合法、有效和安全，请投标供应商确保在电子投标过程中能够对相关数据电文进行加密和使用电子签章，妥善保管CA数字证书并使用有效的CA数字证书参与整个招标活动。</w:t>
            </w:r>
          </w:p>
          <w:p>
            <w:pPr>
              <w:bidi w:val="0"/>
              <w:spacing w:line="240" w:lineRule="auto"/>
              <w:jc w:val="left"/>
              <w:rPr>
                <w:rFonts w:hint="eastAsia" w:ascii="仿宋" w:hAnsi="仿宋" w:eastAsia="仿宋" w:cs="仿宋"/>
                <w:sz w:val="21"/>
                <w:szCs w:val="21"/>
                <w:highlight w:val="none"/>
                <w:lang w:val="zh-CN" w:eastAsia="zh-CN"/>
              </w:rPr>
            </w:pPr>
            <w:r>
              <w:rPr>
                <w:rFonts w:hint="eastAsia" w:ascii="仿宋" w:hAnsi="仿宋" w:eastAsia="仿宋" w:cs="仿宋"/>
                <w:sz w:val="21"/>
                <w:szCs w:val="21"/>
                <w:highlight w:val="none"/>
                <w:lang w:val="zh-CN" w:eastAsia="zh-CN"/>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pPr>
              <w:bidi w:val="0"/>
              <w:spacing w:line="240" w:lineRule="auto"/>
              <w:jc w:val="left"/>
              <w:rPr>
                <w:rFonts w:hint="eastAsia" w:ascii="仿宋" w:hAnsi="仿宋" w:eastAsia="仿宋" w:cs="仿宋"/>
                <w:sz w:val="21"/>
                <w:szCs w:val="21"/>
                <w:highlight w:val="none"/>
                <w:lang w:val="zh-CN" w:eastAsia="zh-CN"/>
              </w:rPr>
            </w:pPr>
            <w:r>
              <w:rPr>
                <w:rFonts w:hint="eastAsia" w:ascii="仿宋" w:hAnsi="仿宋" w:eastAsia="仿宋" w:cs="仿宋"/>
                <w:sz w:val="21"/>
                <w:szCs w:val="21"/>
                <w:highlight w:val="none"/>
                <w:lang w:val="zh-CN" w:eastAsia="zh-CN"/>
              </w:rPr>
              <w:t>(4)开标地点：本次招标将于</w:t>
            </w:r>
            <w:r>
              <w:rPr>
                <w:rFonts w:hint="eastAsia" w:cs="仿宋"/>
                <w:sz w:val="21"/>
                <w:szCs w:val="21"/>
                <w:highlight w:val="none"/>
                <w:lang w:val="zh-CN" w:eastAsia="zh-CN"/>
              </w:rPr>
              <w:t>2025年07月15日09时30分（北京时间）</w:t>
            </w:r>
            <w:r>
              <w:rPr>
                <w:rFonts w:hint="eastAsia" w:ascii="仿宋" w:hAnsi="仿宋" w:eastAsia="仿宋" w:cs="仿宋"/>
                <w:sz w:val="21"/>
                <w:szCs w:val="21"/>
                <w:highlight w:val="none"/>
                <w:lang w:val="zh-CN" w:eastAsia="zh-CN"/>
              </w:rPr>
              <w:t>在“政采云”平台电子开标大厅开标。</w:t>
            </w:r>
          </w:p>
          <w:p>
            <w:pPr>
              <w:bidi w:val="0"/>
              <w:spacing w:line="240" w:lineRule="auto"/>
              <w:jc w:val="left"/>
              <w:rPr>
                <w:rFonts w:hint="eastAsia" w:ascii="仿宋" w:hAnsi="仿宋" w:eastAsia="仿宋" w:cs="仿宋"/>
                <w:sz w:val="21"/>
                <w:szCs w:val="21"/>
                <w:highlight w:val="none"/>
                <w:lang w:val="zh-CN" w:eastAsia="zh-CN"/>
              </w:rPr>
            </w:pPr>
            <w:r>
              <w:rPr>
                <w:rFonts w:hint="eastAsia" w:ascii="仿宋" w:hAnsi="仿宋" w:eastAsia="仿宋" w:cs="仿宋"/>
                <w:sz w:val="21"/>
                <w:szCs w:val="21"/>
                <w:highlight w:val="none"/>
                <w:lang w:val="zh-CN" w:eastAsia="zh-CN"/>
              </w:rPr>
              <w:t>(5)CA证书在线解密：供应商投标时，需携带制作投标文件时用来加密的有效数字证书(CA认证)登录“政采云”平台电子开标大厅现场按规定时间对加密的投标文件进行解密，未能按要求进行解密的，由此产生的后果由投标人自行承担。</w:t>
            </w:r>
          </w:p>
        </w:tc>
      </w:tr>
      <w:tr>
        <w:trPr>
          <w:trHeight w:val="454" w:hRule="atLeast"/>
        </w:trPr>
        <w:tc>
          <w:tcPr>
            <w:tcW w:w="881"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招标文件份数补充说明</w:t>
            </w:r>
          </w:p>
        </w:tc>
        <w:tc>
          <w:tcPr>
            <w:tcW w:w="7444" w:type="dxa"/>
            <w:gridSpan w:val="2"/>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中标单位需在中标通知书领取之前到招标代理公司提交与中标文件相同的纸版投标文件</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份（</w:t>
            </w:r>
            <w:r>
              <w:rPr>
                <w:rFonts w:hint="eastAsia" w:ascii="仿宋" w:hAnsi="仿宋" w:eastAsia="仿宋" w:cs="仿宋"/>
                <w:sz w:val="21"/>
                <w:szCs w:val="21"/>
                <w:highlight w:val="none"/>
                <w:lang w:val="en-US" w:eastAsia="zh-CN"/>
              </w:rPr>
              <w:t>1正本2副本</w:t>
            </w:r>
            <w:r>
              <w:rPr>
                <w:rFonts w:hint="eastAsia" w:ascii="仿宋" w:hAnsi="仿宋" w:eastAsia="仿宋" w:cs="仿宋"/>
                <w:sz w:val="21"/>
                <w:szCs w:val="21"/>
                <w:highlight w:val="none"/>
              </w:rPr>
              <w:t>），软件制作生成的未加密及Word版电子投标文件1份，否则视为放弃中标。</w:t>
            </w:r>
          </w:p>
        </w:tc>
      </w:tr>
      <w:tr>
        <w:tblPrEx>
          <w:tblCellMar>
            <w:top w:w="0" w:type="dxa"/>
            <w:left w:w="108" w:type="dxa"/>
            <w:bottom w:w="0" w:type="dxa"/>
            <w:right w:w="108" w:type="dxa"/>
          </w:tblCellMar>
        </w:tblPrEx>
        <w:trPr>
          <w:trHeight w:val="454" w:hRule="atLeast"/>
        </w:trPr>
        <w:tc>
          <w:tcPr>
            <w:tcW w:w="8325" w:type="dxa"/>
            <w:gridSpan w:val="3"/>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注：投标人须知前附表”用于修改、补充和完善正文中的相关事宜，前附表与正文如有冲突以正文为准。</w:t>
            </w:r>
          </w:p>
        </w:tc>
      </w:tr>
    </w:tbl>
    <w:p>
      <w:pPr>
        <w:autoSpaceDE w:val="0"/>
        <w:autoSpaceDN w:val="0"/>
        <w:adjustRightInd w:val="0"/>
        <w:spacing w:beforeLines="50" w:afterLines="50" w:line="360" w:lineRule="auto"/>
        <w:jc w:val="center"/>
        <w:outlineLvl w:val="1"/>
        <w:rPr>
          <w:rFonts w:hint="eastAsia" w:ascii="仿宋" w:hAnsi="仿宋" w:eastAsia="仿宋" w:cs="仿宋"/>
          <w:b/>
          <w:bCs/>
          <w:color w:val="auto"/>
          <w:kern w:val="2"/>
          <w:sz w:val="24"/>
          <w:szCs w:val="28"/>
          <w:highlight w:val="none"/>
          <w:lang w:val="zh-CN" w:eastAsia="zh-CN" w:bidi="ar-SA"/>
        </w:rPr>
      </w:pPr>
      <w:bookmarkStart w:id="32" w:name="_Toc152045529"/>
      <w:bookmarkStart w:id="33" w:name="_Toc296602420"/>
      <w:bookmarkStart w:id="34" w:name="_Toc246996175"/>
      <w:bookmarkStart w:id="35" w:name="_Toc152042305"/>
      <w:bookmarkStart w:id="36" w:name="_Toc179632546"/>
      <w:bookmarkStart w:id="37" w:name="_Toc144974497"/>
      <w:bookmarkStart w:id="38" w:name="_Toc247085689"/>
      <w:bookmarkStart w:id="39" w:name="_Toc246996918"/>
      <w:r>
        <w:rPr>
          <w:rFonts w:hint="eastAsia" w:ascii="仿宋" w:hAnsi="仿宋" w:eastAsia="仿宋" w:cs="仿宋"/>
          <w:color w:val="auto"/>
          <w:highlight w:val="none"/>
        </w:rPr>
        <w:br w:type="page"/>
      </w:r>
      <w:r>
        <w:rPr>
          <w:rFonts w:hint="eastAsia" w:ascii="仿宋" w:hAnsi="仿宋" w:eastAsia="仿宋" w:cs="仿宋"/>
          <w:b/>
          <w:bCs/>
          <w:color w:val="auto"/>
          <w:kern w:val="2"/>
          <w:sz w:val="24"/>
          <w:szCs w:val="28"/>
          <w:highlight w:val="none"/>
          <w:lang w:val="en-US" w:eastAsia="zh-CN" w:bidi="ar-SA"/>
        </w:rPr>
        <w:t>投标人须知正文</w:t>
      </w:r>
    </w:p>
    <w:bookmarkEnd w:id="32"/>
    <w:bookmarkEnd w:id="33"/>
    <w:bookmarkEnd w:id="34"/>
    <w:bookmarkEnd w:id="35"/>
    <w:bookmarkEnd w:id="36"/>
    <w:bookmarkEnd w:id="37"/>
    <w:bookmarkEnd w:id="38"/>
    <w:bookmarkEnd w:id="39"/>
    <w:p>
      <w:pPr>
        <w:numPr>
          <w:ilvl w:val="0"/>
          <w:numId w:val="7"/>
        </w:numPr>
        <w:bidi w:val="0"/>
        <w:rPr>
          <w:highlight w:val="none"/>
        </w:rPr>
      </w:pPr>
      <w:bookmarkStart w:id="40" w:name="_Toc144974577"/>
      <w:bookmarkStart w:id="41" w:name="_Toc152042387"/>
      <w:bookmarkStart w:id="42" w:name="_Toc55285624"/>
      <w:bookmarkStart w:id="43" w:name="_Toc179632627"/>
      <w:bookmarkStart w:id="44" w:name="_Toc246996252"/>
      <w:bookmarkStart w:id="45" w:name="_Toc52181483"/>
      <w:bookmarkStart w:id="46" w:name="_Toc152045609"/>
      <w:bookmarkStart w:id="47" w:name="_Toc247085767"/>
      <w:bookmarkStart w:id="48" w:name="_Toc246996995"/>
      <w:r>
        <w:rPr>
          <w:highlight w:val="none"/>
        </w:rPr>
        <w:t xml:space="preserve">适用法律：本次招标适用法律法规为《中华人民共和国政府采购法》、《政府采购货物和服务招标投 标管理办法》《中华人民共和国政府采购法实施条例》及政府采购其它相关法规。 </w:t>
      </w:r>
    </w:p>
    <w:p>
      <w:pPr>
        <w:numPr>
          <w:ilvl w:val="0"/>
          <w:numId w:val="7"/>
        </w:numPr>
        <w:bidi w:val="0"/>
        <w:rPr>
          <w:rFonts w:hint="eastAsia"/>
          <w:highlight w:val="none"/>
          <w:lang w:val="zh-CN"/>
        </w:rPr>
      </w:pPr>
      <w:r>
        <w:rPr>
          <w:highlight w:val="none"/>
        </w:rPr>
        <w:t xml:space="preserve">定义： </w:t>
      </w:r>
    </w:p>
    <w:p>
      <w:pPr>
        <w:numPr>
          <w:ilvl w:val="0"/>
          <w:numId w:val="0"/>
        </w:numPr>
        <w:bidi w:val="0"/>
        <w:ind w:firstLine="420" w:firstLineChars="0"/>
        <w:rPr>
          <w:highlight w:val="none"/>
        </w:rPr>
      </w:pPr>
      <w:r>
        <w:rPr>
          <w:highlight w:val="none"/>
        </w:rPr>
        <w:t xml:space="preserve">2.1“招标代理机构”指负责采购活动的组织工作。 </w:t>
      </w:r>
    </w:p>
    <w:p>
      <w:pPr>
        <w:numPr>
          <w:ilvl w:val="0"/>
          <w:numId w:val="0"/>
        </w:numPr>
        <w:bidi w:val="0"/>
        <w:ind w:firstLine="420" w:firstLineChars="0"/>
        <w:rPr>
          <w:highlight w:val="none"/>
        </w:rPr>
      </w:pPr>
      <w:r>
        <w:rPr>
          <w:highlight w:val="none"/>
        </w:rPr>
        <w:t xml:space="preserve">2.2“采购人”指详见招标文件前附表，负责采购项目的整体规划、采购需求设计和可行性论证，作为合同 的需方，承担质疑答复，合同履行、验收、评价等义务。 </w:t>
      </w:r>
    </w:p>
    <w:p>
      <w:pPr>
        <w:numPr>
          <w:ilvl w:val="0"/>
          <w:numId w:val="0"/>
        </w:numPr>
        <w:bidi w:val="0"/>
        <w:ind w:firstLine="420" w:firstLineChars="0"/>
        <w:rPr>
          <w:highlight w:val="none"/>
        </w:rPr>
      </w:pPr>
      <w:r>
        <w:rPr>
          <w:highlight w:val="none"/>
        </w:rPr>
        <w:t>2.3“招标内容”详见第五章《</w:t>
      </w:r>
      <w:r>
        <w:rPr>
          <w:rFonts w:hint="eastAsia"/>
          <w:highlight w:val="none"/>
          <w:lang w:eastAsia="zh-CN"/>
        </w:rPr>
        <w:t>服务标准和要求</w:t>
      </w:r>
      <w:r>
        <w:rPr>
          <w:highlight w:val="none"/>
        </w:rPr>
        <w:t xml:space="preserve">》。 </w:t>
      </w:r>
    </w:p>
    <w:p>
      <w:pPr>
        <w:numPr>
          <w:ilvl w:val="0"/>
          <w:numId w:val="0"/>
        </w:numPr>
        <w:bidi w:val="0"/>
        <w:ind w:firstLine="420" w:firstLineChars="0"/>
        <w:rPr>
          <w:highlight w:val="none"/>
        </w:rPr>
      </w:pPr>
      <w:r>
        <w:rPr>
          <w:highlight w:val="none"/>
        </w:rPr>
        <w:t xml:space="preserve">2.4“潜在供应商”指确认参加投标的供应商。 </w:t>
      </w:r>
    </w:p>
    <w:p>
      <w:pPr>
        <w:numPr>
          <w:ilvl w:val="0"/>
          <w:numId w:val="0"/>
        </w:numPr>
        <w:bidi w:val="0"/>
        <w:ind w:firstLine="420" w:firstLineChars="0"/>
        <w:rPr>
          <w:highlight w:val="none"/>
        </w:rPr>
      </w:pPr>
      <w:r>
        <w:rPr>
          <w:highlight w:val="none"/>
        </w:rPr>
        <w:t xml:space="preserve">2.5“供应商”指响应本招标文件参加投标的供应商。 </w:t>
      </w:r>
    </w:p>
    <w:p>
      <w:pPr>
        <w:numPr>
          <w:ilvl w:val="0"/>
          <w:numId w:val="7"/>
        </w:numPr>
        <w:bidi w:val="0"/>
        <w:ind w:left="0" w:leftChars="0" w:firstLine="0" w:firstLineChars="0"/>
        <w:rPr>
          <w:highlight w:val="none"/>
        </w:rPr>
      </w:pPr>
      <w:r>
        <w:rPr>
          <w:highlight w:val="none"/>
        </w:rPr>
        <w:t xml:space="preserve">合格供应商资格条件要求： 详见招标公告 </w:t>
      </w:r>
    </w:p>
    <w:p>
      <w:pPr>
        <w:numPr>
          <w:ilvl w:val="0"/>
          <w:numId w:val="7"/>
        </w:numPr>
        <w:bidi w:val="0"/>
        <w:ind w:left="0" w:leftChars="0" w:firstLine="0" w:firstLineChars="0"/>
        <w:rPr>
          <w:rFonts w:hint="eastAsia"/>
          <w:highlight w:val="none"/>
          <w:lang w:val="zh-CN"/>
        </w:rPr>
      </w:pPr>
      <w:r>
        <w:rPr>
          <w:highlight w:val="none"/>
        </w:rPr>
        <w:t xml:space="preserve">项目答疑会和踏勘现场： 本项目不举行项目答疑会但组织踏勘现场。 </w:t>
      </w:r>
    </w:p>
    <w:p>
      <w:pPr>
        <w:numPr>
          <w:ilvl w:val="0"/>
          <w:numId w:val="7"/>
        </w:numPr>
        <w:bidi w:val="0"/>
        <w:ind w:left="0" w:leftChars="0" w:firstLine="0" w:firstLineChars="0"/>
        <w:rPr>
          <w:rFonts w:hint="eastAsia"/>
          <w:highlight w:val="none"/>
          <w:lang w:val="zh-CN"/>
        </w:rPr>
      </w:pPr>
      <w:r>
        <w:rPr>
          <w:highlight w:val="none"/>
        </w:rPr>
        <w:t xml:space="preserve">投标费用：供应商应自行承担所有与编写和提交投标文件有关的费用，无论投标的结果如何，采购人 和采购人在任何情况下均无义务和责任承担这些费用。 </w:t>
      </w:r>
    </w:p>
    <w:p>
      <w:pPr>
        <w:numPr>
          <w:ilvl w:val="0"/>
          <w:numId w:val="7"/>
        </w:numPr>
        <w:bidi w:val="0"/>
        <w:ind w:left="0" w:leftChars="0" w:firstLine="0" w:firstLineChars="0"/>
        <w:rPr>
          <w:rFonts w:hint="eastAsia"/>
          <w:highlight w:val="none"/>
          <w:lang w:val="zh-CN"/>
        </w:rPr>
      </w:pPr>
      <w:r>
        <w:rPr>
          <w:highlight w:val="none"/>
        </w:rPr>
        <w:t xml:space="preserve"> 招标文件： </w:t>
      </w:r>
    </w:p>
    <w:p>
      <w:pPr>
        <w:numPr>
          <w:ilvl w:val="0"/>
          <w:numId w:val="0"/>
        </w:numPr>
        <w:bidi w:val="0"/>
        <w:ind w:leftChars="0" w:firstLine="420" w:firstLineChars="0"/>
        <w:rPr>
          <w:highlight w:val="none"/>
        </w:rPr>
      </w:pPr>
      <w:r>
        <w:rPr>
          <w:highlight w:val="none"/>
        </w:rPr>
        <w:t xml:space="preserve">6.1 招标文件的构成： </w:t>
      </w:r>
    </w:p>
    <w:p>
      <w:pPr>
        <w:numPr>
          <w:ilvl w:val="0"/>
          <w:numId w:val="0"/>
        </w:numPr>
        <w:bidi w:val="0"/>
        <w:ind w:left="420" w:leftChars="0" w:firstLine="420" w:firstLineChars="0"/>
        <w:rPr>
          <w:highlight w:val="none"/>
        </w:rPr>
      </w:pPr>
      <w:r>
        <w:rPr>
          <w:highlight w:val="none"/>
        </w:rPr>
        <w:t xml:space="preserve">第一章 招标公告 </w:t>
      </w:r>
    </w:p>
    <w:p>
      <w:pPr>
        <w:numPr>
          <w:ilvl w:val="0"/>
          <w:numId w:val="0"/>
        </w:numPr>
        <w:bidi w:val="0"/>
        <w:ind w:left="420" w:leftChars="0" w:firstLine="420" w:firstLineChars="0"/>
        <w:rPr>
          <w:highlight w:val="none"/>
        </w:rPr>
      </w:pPr>
      <w:r>
        <w:rPr>
          <w:highlight w:val="none"/>
        </w:rPr>
        <w:t xml:space="preserve">第二章 供应商须知 </w:t>
      </w:r>
    </w:p>
    <w:p>
      <w:pPr>
        <w:numPr>
          <w:ilvl w:val="0"/>
          <w:numId w:val="0"/>
        </w:numPr>
        <w:bidi w:val="0"/>
        <w:ind w:left="420" w:leftChars="0" w:firstLine="420" w:firstLineChars="0"/>
        <w:rPr>
          <w:highlight w:val="none"/>
        </w:rPr>
      </w:pPr>
      <w:r>
        <w:rPr>
          <w:highlight w:val="none"/>
        </w:rPr>
        <w:t xml:space="preserve">第三章 合同条款 </w:t>
      </w:r>
    </w:p>
    <w:p>
      <w:pPr>
        <w:numPr>
          <w:ilvl w:val="0"/>
          <w:numId w:val="0"/>
        </w:numPr>
        <w:bidi w:val="0"/>
        <w:ind w:left="420" w:leftChars="0" w:firstLine="420" w:firstLineChars="0"/>
        <w:rPr>
          <w:highlight w:val="none"/>
        </w:rPr>
      </w:pPr>
      <w:r>
        <w:rPr>
          <w:highlight w:val="none"/>
        </w:rPr>
        <w:t xml:space="preserve">第四章 合同格式 </w:t>
      </w:r>
    </w:p>
    <w:p>
      <w:pPr>
        <w:numPr>
          <w:ilvl w:val="0"/>
          <w:numId w:val="0"/>
        </w:numPr>
        <w:bidi w:val="0"/>
        <w:ind w:left="420" w:leftChars="0" w:firstLine="420" w:firstLineChars="0"/>
        <w:rPr>
          <w:highlight w:val="none"/>
        </w:rPr>
      </w:pPr>
      <w:r>
        <w:rPr>
          <w:highlight w:val="none"/>
        </w:rPr>
        <w:t xml:space="preserve">第五章 </w:t>
      </w:r>
      <w:r>
        <w:rPr>
          <w:rFonts w:hint="eastAsia"/>
          <w:highlight w:val="none"/>
          <w:lang w:eastAsia="zh-CN"/>
        </w:rPr>
        <w:t>服务标准和要求</w:t>
      </w:r>
      <w:r>
        <w:rPr>
          <w:highlight w:val="none"/>
        </w:rPr>
        <w:t xml:space="preserve"> </w:t>
      </w:r>
    </w:p>
    <w:p>
      <w:pPr>
        <w:numPr>
          <w:ilvl w:val="0"/>
          <w:numId w:val="0"/>
        </w:numPr>
        <w:bidi w:val="0"/>
        <w:ind w:left="420" w:leftChars="0" w:firstLine="420" w:firstLineChars="0"/>
        <w:rPr>
          <w:highlight w:val="none"/>
        </w:rPr>
      </w:pPr>
      <w:r>
        <w:rPr>
          <w:highlight w:val="none"/>
        </w:rPr>
        <w:t xml:space="preserve">第六章 </w:t>
      </w:r>
      <w:r>
        <w:rPr>
          <w:rFonts w:hint="eastAsia"/>
          <w:highlight w:val="none"/>
          <w:lang w:eastAsia="zh-CN"/>
        </w:rPr>
        <w:t>服务标准和要求</w:t>
      </w:r>
      <w:r>
        <w:rPr>
          <w:highlight w:val="none"/>
        </w:rPr>
        <w:t xml:space="preserve"> </w:t>
      </w:r>
    </w:p>
    <w:p>
      <w:pPr>
        <w:numPr>
          <w:ilvl w:val="0"/>
          <w:numId w:val="0"/>
        </w:numPr>
        <w:bidi w:val="0"/>
        <w:ind w:left="420" w:leftChars="0" w:firstLine="420" w:firstLineChars="0"/>
        <w:rPr>
          <w:highlight w:val="none"/>
        </w:rPr>
      </w:pPr>
      <w:r>
        <w:rPr>
          <w:highlight w:val="none"/>
        </w:rPr>
        <w:t xml:space="preserve">第七章 评标办法 </w:t>
      </w:r>
    </w:p>
    <w:p>
      <w:pPr>
        <w:numPr>
          <w:ilvl w:val="0"/>
          <w:numId w:val="0"/>
        </w:numPr>
        <w:bidi w:val="0"/>
        <w:ind w:left="420" w:leftChars="0" w:firstLine="420" w:firstLineChars="0"/>
        <w:rPr>
          <w:highlight w:val="none"/>
        </w:rPr>
      </w:pPr>
      <w:r>
        <w:rPr>
          <w:highlight w:val="none"/>
        </w:rPr>
        <w:t xml:space="preserve">附件 </w:t>
      </w:r>
    </w:p>
    <w:p>
      <w:pPr>
        <w:numPr>
          <w:ilvl w:val="0"/>
          <w:numId w:val="0"/>
        </w:numPr>
        <w:bidi w:val="0"/>
        <w:ind w:leftChars="0" w:firstLine="420" w:firstLineChars="0"/>
        <w:rPr>
          <w:highlight w:val="none"/>
        </w:rPr>
      </w:pPr>
      <w:r>
        <w:rPr>
          <w:highlight w:val="none"/>
        </w:rPr>
        <w:t xml:space="preserve">6.2 供应商应认真阅读招标文件中所有事项、格式、条款和规范等要求。如果供应商没有按照招标文件要 求提交全部文件资料或投标文件没有对招标文件在各方面都做出实质性响应，是供应商的风险。 </w:t>
      </w:r>
    </w:p>
    <w:p>
      <w:pPr>
        <w:numPr>
          <w:ilvl w:val="0"/>
          <w:numId w:val="7"/>
        </w:numPr>
        <w:bidi w:val="0"/>
        <w:ind w:firstLine="0"/>
        <w:rPr>
          <w:highlight w:val="none"/>
        </w:rPr>
      </w:pPr>
      <w:r>
        <w:rPr>
          <w:highlight w:val="none"/>
        </w:rPr>
        <w:t xml:space="preserve">招标文件的澄清和修改： </w:t>
      </w:r>
    </w:p>
    <w:p>
      <w:pPr>
        <w:numPr>
          <w:ilvl w:val="0"/>
          <w:numId w:val="0"/>
        </w:numPr>
        <w:bidi w:val="0"/>
        <w:ind w:leftChars="0" w:firstLine="420" w:firstLineChars="0"/>
        <w:rPr>
          <w:highlight w:val="none"/>
        </w:rPr>
      </w:pPr>
      <w:r>
        <w:rPr>
          <w:highlight w:val="none"/>
        </w:rPr>
        <w:t xml:space="preserve">7.1 任何要求对招标文件进行澄清的供应商，均应在投标截止期 15 天前在政采云平台（http： //www.zcygov.cn）发布，并按照招标公告中载明的招标代理机构的联系方式电话通知招标代理机构。代理 机构及采购人将视所提问题具体情况的答复澄清，在政采云平台（http：//www.zcygov.cn）答疑文件中发布。供应商自行在政采云平台（http：//www.zcygov.cn）答疑文件处下载。否则，后果自负。招标代理机 构及采购人不接受供应商的书面质疑。 </w:t>
      </w:r>
    </w:p>
    <w:p>
      <w:pPr>
        <w:numPr>
          <w:ilvl w:val="0"/>
          <w:numId w:val="0"/>
        </w:numPr>
        <w:bidi w:val="0"/>
        <w:ind w:leftChars="0" w:firstLine="420" w:firstLineChars="0"/>
        <w:rPr>
          <w:highlight w:val="none"/>
        </w:rPr>
      </w:pPr>
      <w:r>
        <w:rPr>
          <w:highlight w:val="none"/>
        </w:rPr>
        <w:t xml:space="preserve">7.2 采购人可在投标截止时间 15 日前（含）对招标文件进行修改、补充。招标文件的修改、补充文件将在 政采云平台（http：//www.zcygov.cn）发布向潜在供应商发出，供应商自行在政采云平台（http： //www.zcygov.cn）下载。并在发布招标公告的媒体上公告。 </w:t>
      </w:r>
    </w:p>
    <w:p>
      <w:pPr>
        <w:numPr>
          <w:ilvl w:val="0"/>
          <w:numId w:val="0"/>
        </w:numPr>
        <w:bidi w:val="0"/>
        <w:ind w:leftChars="0" w:firstLine="420" w:firstLineChars="0"/>
        <w:rPr>
          <w:highlight w:val="none"/>
        </w:rPr>
      </w:pPr>
      <w:r>
        <w:rPr>
          <w:highlight w:val="none"/>
        </w:rPr>
        <w:t xml:space="preserve">7.3 招标文件的澄清、修改、补充文件均构成招标文件的组成部分，对所有供应商具有约束力，供应商未 在政采云平台（http：//www.zcygov.cn）自行下载澄清、修改、补充文件，后果自负。 </w:t>
      </w:r>
    </w:p>
    <w:p>
      <w:pPr>
        <w:numPr>
          <w:ilvl w:val="0"/>
          <w:numId w:val="0"/>
        </w:numPr>
        <w:bidi w:val="0"/>
        <w:ind w:leftChars="0" w:firstLine="420" w:firstLineChars="0"/>
        <w:rPr>
          <w:highlight w:val="none"/>
        </w:rPr>
      </w:pPr>
      <w:r>
        <w:rPr>
          <w:highlight w:val="none"/>
        </w:rPr>
        <w:t xml:space="preserve">7.4 为使供应商有充分的时间对招标文件的澄清、修改、补充部分进行研究，采购人可在投标截止时间 3 日前（含）自行决定酌情延长投标截止时间，延长投标截止时间的公告将在发布招标公告的媒体上发告并 在政采云平台（http：//www.zcygov.cn）向所有潜在供应商发布。在这种情况下，采购人和供应商受投标 截止时间制约的所有权利和义务均相应延长至新的投标截止时间。 </w:t>
      </w:r>
    </w:p>
    <w:p>
      <w:pPr>
        <w:numPr>
          <w:ilvl w:val="0"/>
          <w:numId w:val="7"/>
        </w:numPr>
        <w:bidi w:val="0"/>
        <w:ind w:firstLine="0"/>
        <w:rPr>
          <w:highlight w:val="none"/>
        </w:rPr>
      </w:pPr>
      <w:r>
        <w:rPr>
          <w:highlight w:val="none"/>
        </w:rPr>
        <w:t xml:space="preserve">投标文件构成： </w:t>
      </w:r>
    </w:p>
    <w:p>
      <w:pPr>
        <w:numPr>
          <w:ilvl w:val="0"/>
          <w:numId w:val="0"/>
        </w:numPr>
        <w:bidi w:val="0"/>
        <w:ind w:leftChars="0" w:firstLine="420" w:firstLineChars="0"/>
        <w:rPr>
          <w:highlight w:val="none"/>
        </w:rPr>
      </w:pPr>
      <w:r>
        <w:rPr>
          <w:highlight w:val="none"/>
        </w:rPr>
        <w:t xml:space="preserve">8.1 投标文件分为商务部分和技术部分。商务部分是供应商提交的证明其具有合格的投标资格和中标后有 能力履行合同的文件。技术部分是能够证明供应商所提供货物和服务的合格性和符合招标文件规定的文件。 </w:t>
      </w:r>
    </w:p>
    <w:p>
      <w:pPr>
        <w:numPr>
          <w:ilvl w:val="0"/>
          <w:numId w:val="0"/>
        </w:numPr>
        <w:bidi w:val="0"/>
        <w:ind w:leftChars="0" w:firstLine="420" w:firstLineChars="0"/>
        <w:rPr>
          <w:highlight w:val="none"/>
        </w:rPr>
      </w:pPr>
      <w:r>
        <w:rPr>
          <w:highlight w:val="none"/>
        </w:rPr>
        <w:t xml:space="preserve">8.2 供应商应提交本招标文件第六章《投标文件构成、要求及格式》规定的全部商务文件和技术文件，若 有缺失、无效或者不符合招标文件要求，将导致其投标被拒绝。 </w:t>
      </w:r>
    </w:p>
    <w:p>
      <w:pPr>
        <w:numPr>
          <w:ilvl w:val="0"/>
          <w:numId w:val="0"/>
        </w:numPr>
        <w:bidi w:val="0"/>
        <w:ind w:leftChars="0" w:firstLine="420" w:firstLineChars="0"/>
        <w:rPr>
          <w:highlight w:val="none"/>
        </w:rPr>
      </w:pPr>
      <w:r>
        <w:rPr>
          <w:highlight w:val="none"/>
        </w:rPr>
        <w:t xml:space="preserve">8.3 第二章《供应商须知》第 11 条要求提交的投标保证金。 </w:t>
      </w:r>
    </w:p>
    <w:p>
      <w:pPr>
        <w:numPr>
          <w:ilvl w:val="0"/>
          <w:numId w:val="7"/>
        </w:numPr>
        <w:bidi w:val="0"/>
        <w:ind w:firstLine="0"/>
        <w:rPr>
          <w:highlight w:val="none"/>
        </w:rPr>
      </w:pPr>
      <w:r>
        <w:rPr>
          <w:highlight w:val="none"/>
        </w:rPr>
        <w:t xml:space="preserve">投标文件的编制： </w:t>
      </w:r>
    </w:p>
    <w:p>
      <w:pPr>
        <w:numPr>
          <w:ilvl w:val="0"/>
          <w:numId w:val="0"/>
        </w:numPr>
        <w:bidi w:val="0"/>
        <w:ind w:leftChars="0" w:firstLine="420" w:firstLineChars="0"/>
        <w:rPr>
          <w:highlight w:val="none"/>
        </w:rPr>
      </w:pPr>
      <w:r>
        <w:rPr>
          <w:highlight w:val="none"/>
        </w:rPr>
        <w:t>9.1 投标语言：投标文件以及供应商与采购人就有关投标的来往函电均使用中文。</w:t>
      </w:r>
    </w:p>
    <w:p>
      <w:pPr>
        <w:numPr>
          <w:ilvl w:val="0"/>
          <w:numId w:val="0"/>
        </w:numPr>
        <w:bidi w:val="0"/>
        <w:ind w:leftChars="0" w:firstLine="420" w:firstLineChars="0"/>
        <w:rPr>
          <w:highlight w:val="none"/>
        </w:rPr>
      </w:pPr>
      <w:r>
        <w:rPr>
          <w:highlight w:val="none"/>
        </w:rPr>
        <w:t xml:space="preserve">9.2 计量单位：中华人民共和国法定计量单位。 </w:t>
      </w:r>
    </w:p>
    <w:p>
      <w:pPr>
        <w:numPr>
          <w:ilvl w:val="0"/>
          <w:numId w:val="0"/>
        </w:numPr>
        <w:bidi w:val="0"/>
        <w:ind w:leftChars="0" w:firstLine="420" w:firstLineChars="0"/>
        <w:rPr>
          <w:highlight w:val="none"/>
        </w:rPr>
      </w:pPr>
      <w:r>
        <w:rPr>
          <w:highlight w:val="none"/>
        </w:rPr>
        <w:t xml:space="preserve">9.3 投标文件规格应采用 A4 幅面，打印，按照招标文件规定的顺序，统一编目编码装订。为便于评标，技 术文件中的各项表格应按照招标文件第六章规定的格式制作。 </w:t>
      </w:r>
    </w:p>
    <w:p>
      <w:pPr>
        <w:numPr>
          <w:ilvl w:val="0"/>
          <w:numId w:val="0"/>
        </w:numPr>
        <w:bidi w:val="0"/>
        <w:ind w:leftChars="0" w:firstLine="420" w:firstLineChars="0"/>
        <w:rPr>
          <w:highlight w:val="none"/>
        </w:rPr>
      </w:pPr>
      <w:r>
        <w:rPr>
          <w:highlight w:val="none"/>
        </w:rPr>
        <w:t xml:space="preserve">9.4 供应商在投标文件以及在投标、谈判、合同签订、履行过程中所签署的相关文件中所加盖的公章，均须按照招标文件的规定加盖与供应商名称全称相一致的标准公章，不得使用彩喷或者彩印的印章，否则将被视为无效。 </w:t>
      </w:r>
    </w:p>
    <w:p>
      <w:pPr>
        <w:numPr>
          <w:ilvl w:val="0"/>
          <w:numId w:val="0"/>
        </w:numPr>
        <w:bidi w:val="0"/>
        <w:ind w:leftChars="0" w:firstLine="420" w:firstLineChars="0"/>
        <w:rPr>
          <w:highlight w:val="none"/>
        </w:rPr>
      </w:pPr>
      <w:r>
        <w:rPr>
          <w:highlight w:val="none"/>
        </w:rPr>
        <w:t xml:space="preserve">9.5 采购人不接受采用传真方式提交的投标文件。 </w:t>
      </w:r>
    </w:p>
    <w:p>
      <w:pPr>
        <w:numPr>
          <w:ilvl w:val="0"/>
          <w:numId w:val="7"/>
        </w:numPr>
        <w:bidi w:val="0"/>
        <w:ind w:firstLine="0"/>
        <w:rPr>
          <w:highlight w:val="none"/>
        </w:rPr>
      </w:pPr>
      <w:r>
        <w:rPr>
          <w:highlight w:val="none"/>
        </w:rPr>
        <w:t xml:space="preserve">投标报价： </w:t>
      </w:r>
    </w:p>
    <w:p>
      <w:pPr>
        <w:numPr>
          <w:ilvl w:val="0"/>
          <w:numId w:val="0"/>
        </w:numPr>
        <w:bidi w:val="0"/>
        <w:ind w:leftChars="0" w:firstLine="420" w:firstLineChars="0"/>
        <w:rPr>
          <w:highlight w:val="none"/>
        </w:rPr>
      </w:pPr>
      <w:r>
        <w:rPr>
          <w:highlight w:val="none"/>
        </w:rPr>
        <w:t xml:space="preserve">10.1 投标货币：所有投标报价均以人民币元为计算单位。 </w:t>
      </w:r>
    </w:p>
    <w:p>
      <w:pPr>
        <w:numPr>
          <w:ilvl w:val="0"/>
          <w:numId w:val="0"/>
        </w:numPr>
        <w:bidi w:val="0"/>
        <w:ind w:leftChars="0" w:firstLine="420" w:firstLineChars="0"/>
        <w:rPr>
          <w:highlight w:val="none"/>
        </w:rPr>
      </w:pPr>
      <w:r>
        <w:rPr>
          <w:highlight w:val="none"/>
        </w:rPr>
        <w:t xml:space="preserve">10.2 供应商应一次性报出投标货物的单价，每种货物只允许有一个报价，任何有选择的报价将不予接受。供应商所报价格应为在本招标文件指定地点交货、由供应商负责安装调试、验收合格并交付的全部价格。 </w:t>
      </w:r>
    </w:p>
    <w:p>
      <w:pPr>
        <w:numPr>
          <w:ilvl w:val="0"/>
          <w:numId w:val="0"/>
        </w:numPr>
        <w:bidi w:val="0"/>
        <w:ind w:leftChars="0" w:firstLine="420" w:firstLineChars="0"/>
        <w:rPr>
          <w:highlight w:val="none"/>
        </w:rPr>
      </w:pPr>
      <w:r>
        <w:rPr>
          <w:highlight w:val="none"/>
        </w:rPr>
        <w:t xml:space="preserve">10.3 供应商所报的价格在合同执行过程中是固定不变的，不得以任何理由予以变更。以可调整的价格提交 的投标将作为非响应性投标予以拒绝。 </w:t>
      </w:r>
    </w:p>
    <w:p>
      <w:pPr>
        <w:numPr>
          <w:ilvl w:val="0"/>
          <w:numId w:val="0"/>
        </w:numPr>
        <w:bidi w:val="0"/>
        <w:ind w:leftChars="0" w:firstLine="420" w:firstLineChars="0"/>
        <w:rPr>
          <w:highlight w:val="none"/>
        </w:rPr>
      </w:pPr>
      <w:r>
        <w:rPr>
          <w:highlight w:val="none"/>
        </w:rPr>
        <w:t xml:space="preserve">10.4 最低报价不能作为中标的保证。 </w:t>
      </w:r>
    </w:p>
    <w:p>
      <w:pPr>
        <w:numPr>
          <w:ilvl w:val="0"/>
          <w:numId w:val="7"/>
        </w:numPr>
        <w:bidi w:val="0"/>
        <w:ind w:firstLine="0"/>
        <w:rPr>
          <w:highlight w:val="none"/>
        </w:rPr>
      </w:pPr>
      <w:r>
        <w:rPr>
          <w:highlight w:val="none"/>
        </w:rPr>
        <w:t xml:space="preserve">投标保证金： </w:t>
      </w:r>
    </w:p>
    <w:p>
      <w:pPr>
        <w:numPr>
          <w:ilvl w:val="0"/>
          <w:numId w:val="0"/>
        </w:numPr>
        <w:bidi w:val="0"/>
        <w:ind w:leftChars="0" w:firstLine="420" w:firstLineChars="0"/>
        <w:rPr>
          <w:highlight w:val="none"/>
        </w:rPr>
      </w:pPr>
      <w:r>
        <w:rPr>
          <w:highlight w:val="none"/>
        </w:rPr>
        <w:t xml:space="preserve">11.1 供应商应向采购人提交相应的投标保证金。供应商须按照《招标公告》标明的采购人帐户名称、开户 银行和帐号，在投标截止时间之前将投标保证金足额汇入（存入）采购人帐户，并必须携带汇款银行出具 的汇款（存款）凭证（进帐单复印件加盖供应商公章或财务章）参加开标会并领取收据。 采购人特别声明：投标保证金必须以银行电汇、电子保函等形式在投标截止时间前汇入招标代理机构指定 的账户，应从基本账户转出。银行电汇单据复印件及基本账户开户许可证复印件应放入投标文件中。详见投标人须知 </w:t>
      </w:r>
    </w:p>
    <w:p>
      <w:pPr>
        <w:numPr>
          <w:ilvl w:val="0"/>
          <w:numId w:val="0"/>
        </w:numPr>
        <w:bidi w:val="0"/>
        <w:ind w:leftChars="0" w:firstLine="420" w:firstLineChars="0"/>
        <w:rPr>
          <w:highlight w:val="none"/>
        </w:rPr>
      </w:pPr>
      <w:r>
        <w:rPr>
          <w:highlight w:val="none"/>
        </w:rPr>
        <w:t xml:space="preserve">11.2 投标保证金是为了弥补采购人因供应商的违规行为而蒙受的损失。采购人在因供应商的违规行为而受 到损害时，将不予退还供应商的投标保证金，并作为所受损害的补偿。 </w:t>
      </w:r>
    </w:p>
    <w:p>
      <w:pPr>
        <w:numPr>
          <w:ilvl w:val="0"/>
          <w:numId w:val="0"/>
        </w:numPr>
        <w:bidi w:val="0"/>
        <w:ind w:leftChars="0" w:firstLine="420" w:firstLineChars="0"/>
        <w:rPr>
          <w:highlight w:val="none"/>
        </w:rPr>
      </w:pPr>
      <w:r>
        <w:rPr>
          <w:highlight w:val="none"/>
        </w:rPr>
        <w:t xml:space="preserve">11.3 投标保证金是投标文件的一个组成部分。在开标时，凡没有按规定提交投标保证金的投标，将被视为 非响应性投标予以拒绝。 </w:t>
      </w:r>
    </w:p>
    <w:p>
      <w:pPr>
        <w:numPr>
          <w:ilvl w:val="0"/>
          <w:numId w:val="0"/>
        </w:numPr>
        <w:bidi w:val="0"/>
        <w:ind w:leftChars="0" w:firstLine="420" w:firstLineChars="0"/>
        <w:rPr>
          <w:highlight w:val="none"/>
        </w:rPr>
      </w:pPr>
      <w:r>
        <w:rPr>
          <w:highlight w:val="none"/>
        </w:rPr>
        <w:t xml:space="preserve">11.4 落标人的投标保证金将在中标通知书发出后 5 个工作日内退还，不计利息。 </w:t>
      </w:r>
    </w:p>
    <w:p>
      <w:pPr>
        <w:numPr>
          <w:ilvl w:val="0"/>
          <w:numId w:val="0"/>
        </w:numPr>
        <w:bidi w:val="0"/>
        <w:ind w:leftChars="0" w:firstLine="420" w:firstLineChars="0"/>
        <w:rPr>
          <w:highlight w:val="none"/>
        </w:rPr>
      </w:pPr>
      <w:r>
        <w:rPr>
          <w:highlight w:val="none"/>
        </w:rPr>
        <w:t xml:space="preserve">11.5 中标人的投标保证金，在中标人按本须知第 21 条规定签署合同，并按第 22 条规定交纳了履约保证金 后 5 个工作日内退还，不计利息。 </w:t>
      </w:r>
    </w:p>
    <w:p>
      <w:pPr>
        <w:numPr>
          <w:ilvl w:val="0"/>
          <w:numId w:val="0"/>
        </w:numPr>
        <w:bidi w:val="0"/>
        <w:ind w:leftChars="0" w:firstLine="420" w:firstLineChars="0"/>
        <w:rPr>
          <w:highlight w:val="none"/>
        </w:rPr>
      </w:pPr>
      <w:r>
        <w:rPr>
          <w:highlight w:val="none"/>
        </w:rPr>
        <w:t xml:space="preserve">11.6 投标保证金将一律通过银行转帐方式退还。 </w:t>
      </w:r>
    </w:p>
    <w:p>
      <w:pPr>
        <w:numPr>
          <w:ilvl w:val="0"/>
          <w:numId w:val="0"/>
        </w:numPr>
        <w:bidi w:val="0"/>
        <w:ind w:leftChars="0" w:firstLine="420" w:firstLineChars="0"/>
        <w:rPr>
          <w:highlight w:val="none"/>
        </w:rPr>
      </w:pPr>
      <w:r>
        <w:rPr>
          <w:highlight w:val="none"/>
        </w:rPr>
        <w:t xml:space="preserve">11.7 下列情况之一发生时，投标保证金将不予退还： </w:t>
      </w:r>
    </w:p>
    <w:p>
      <w:pPr>
        <w:numPr>
          <w:ilvl w:val="0"/>
          <w:numId w:val="0"/>
        </w:numPr>
        <w:bidi w:val="0"/>
        <w:ind w:leftChars="0" w:firstLine="420" w:firstLineChars="0"/>
        <w:rPr>
          <w:highlight w:val="none"/>
        </w:rPr>
      </w:pPr>
      <w:r>
        <w:rPr>
          <w:highlight w:val="none"/>
        </w:rPr>
        <w:t xml:space="preserve">（1）供应商在招标文件规定的投标有效期内撤回其投标； </w:t>
      </w:r>
    </w:p>
    <w:p>
      <w:pPr>
        <w:numPr>
          <w:ilvl w:val="0"/>
          <w:numId w:val="0"/>
        </w:numPr>
        <w:bidi w:val="0"/>
        <w:ind w:leftChars="0" w:firstLine="420" w:firstLineChars="0"/>
        <w:rPr>
          <w:highlight w:val="none"/>
        </w:rPr>
      </w:pPr>
      <w:r>
        <w:rPr>
          <w:highlight w:val="none"/>
        </w:rPr>
        <w:t xml:space="preserve">（2）中标人在规定期限内未能做到：a.按照本须知第 21 条规定签订合同；b.按照本须知第 22 条规定提交 履约保证金。 </w:t>
      </w:r>
    </w:p>
    <w:p>
      <w:pPr>
        <w:numPr>
          <w:ilvl w:val="0"/>
          <w:numId w:val="0"/>
        </w:numPr>
        <w:bidi w:val="0"/>
        <w:ind w:leftChars="0" w:firstLine="420" w:firstLineChars="0"/>
        <w:rPr>
          <w:highlight w:val="none"/>
        </w:rPr>
      </w:pPr>
      <w:r>
        <w:rPr>
          <w:highlight w:val="none"/>
        </w:rPr>
        <w:t xml:space="preserve">（3）招标文件规定不予退还投标保证金的其他情形。 </w:t>
      </w:r>
    </w:p>
    <w:p>
      <w:pPr>
        <w:numPr>
          <w:ilvl w:val="0"/>
          <w:numId w:val="0"/>
        </w:numPr>
        <w:bidi w:val="0"/>
        <w:ind w:leftChars="0" w:firstLine="420" w:firstLineChars="0"/>
        <w:rPr>
          <w:highlight w:val="none"/>
        </w:rPr>
      </w:pPr>
      <w:r>
        <w:rPr>
          <w:highlight w:val="none"/>
        </w:rPr>
        <w:t xml:space="preserve">11.8 如投标保证金使用电子保函形式的，请务必仔细阅读公告及供应商须知前附表要求，若因未按照文件 相关规定出具的，后果自负。 </w:t>
      </w:r>
    </w:p>
    <w:p>
      <w:pPr>
        <w:numPr>
          <w:ilvl w:val="0"/>
          <w:numId w:val="7"/>
        </w:numPr>
        <w:bidi w:val="0"/>
        <w:ind w:firstLine="0"/>
        <w:rPr>
          <w:highlight w:val="none"/>
        </w:rPr>
      </w:pPr>
      <w:r>
        <w:rPr>
          <w:highlight w:val="none"/>
        </w:rPr>
        <w:t xml:space="preserve">投标有效期： </w:t>
      </w:r>
    </w:p>
    <w:p>
      <w:pPr>
        <w:numPr>
          <w:ilvl w:val="0"/>
          <w:numId w:val="0"/>
        </w:numPr>
        <w:bidi w:val="0"/>
        <w:ind w:leftChars="0" w:firstLine="420" w:firstLineChars="0"/>
        <w:rPr>
          <w:highlight w:val="none"/>
        </w:rPr>
      </w:pPr>
      <w:r>
        <w:rPr>
          <w:highlight w:val="none"/>
        </w:rPr>
        <w:t xml:space="preserve">12.1 投标有效期为自开标之时起 90 天。投标文件在这个规定期限内应保持有效。 </w:t>
      </w:r>
    </w:p>
    <w:p>
      <w:pPr>
        <w:numPr>
          <w:ilvl w:val="0"/>
          <w:numId w:val="0"/>
        </w:numPr>
        <w:bidi w:val="0"/>
        <w:ind w:leftChars="0" w:firstLine="420" w:firstLineChars="0"/>
        <w:rPr>
          <w:highlight w:val="none"/>
        </w:rPr>
      </w:pPr>
      <w:r>
        <w:rPr>
          <w:highlight w:val="none"/>
        </w:rPr>
        <w:t>12.2 在特殊情况下，采购人可与供应商协商延长投标有效期。这种要求和答复都应以书面形式进行。供应 商可以拒绝接受延期要求而不会被没收投标保证金。同意延长投标有效期的供应商除按照采购人要求修改 投标文件的有效期外，不能修改投标文件的其他内容。</w:t>
      </w:r>
    </w:p>
    <w:p>
      <w:pPr>
        <w:numPr>
          <w:ilvl w:val="0"/>
          <w:numId w:val="0"/>
        </w:numPr>
        <w:bidi w:val="0"/>
        <w:ind w:leftChars="0" w:firstLine="420" w:firstLineChars="0"/>
        <w:rPr>
          <w:highlight w:val="none"/>
        </w:rPr>
      </w:pPr>
      <w:r>
        <w:rPr>
          <w:highlight w:val="none"/>
        </w:rPr>
        <w:t xml:space="preserve">12.3 中标人的投标文件有效期等同于合同履行期。 </w:t>
      </w:r>
    </w:p>
    <w:p>
      <w:pPr>
        <w:numPr>
          <w:ilvl w:val="0"/>
          <w:numId w:val="0"/>
        </w:numPr>
        <w:bidi w:val="0"/>
        <w:ind w:leftChars="0" w:firstLine="420" w:firstLineChars="0"/>
        <w:rPr>
          <w:highlight w:val="none"/>
        </w:rPr>
      </w:pPr>
      <w:r>
        <w:rPr>
          <w:highlight w:val="none"/>
        </w:rPr>
        <w:t xml:space="preserve">13. 投标文件的式样和签署： </w:t>
      </w:r>
    </w:p>
    <w:p>
      <w:pPr>
        <w:numPr>
          <w:ilvl w:val="0"/>
          <w:numId w:val="0"/>
        </w:numPr>
        <w:bidi w:val="0"/>
        <w:ind w:leftChars="0" w:firstLine="420" w:firstLineChars="0"/>
        <w:rPr>
          <w:highlight w:val="none"/>
        </w:rPr>
      </w:pPr>
      <w:r>
        <w:rPr>
          <w:highlight w:val="none"/>
        </w:rPr>
        <w:t xml:space="preserve">13.1 投标文件需打印或用不褪色墨水书写。第六章《投标文件构成、要求及格式》中凡要求签署和加盖公 章的，均须由供应商的法定代表人或其授权代理人手书签字和加盖供应商公章。投标文件由法定代表人签 署的，须与其企业法人营业执照相符；由授权代理人签署的，须提交以书面形式出具的《法定代表人授权 书》（按第六章规定的格式提交）。 </w:t>
      </w:r>
    </w:p>
    <w:p>
      <w:pPr>
        <w:numPr>
          <w:ilvl w:val="0"/>
          <w:numId w:val="0"/>
        </w:numPr>
        <w:bidi w:val="0"/>
        <w:ind w:leftChars="0" w:firstLine="420" w:firstLineChars="0"/>
        <w:rPr>
          <w:highlight w:val="none"/>
        </w:rPr>
      </w:pPr>
      <w:r>
        <w:rPr>
          <w:highlight w:val="none"/>
        </w:rPr>
        <w:t xml:space="preserve">13.2 投标文件中如有修改错漏处，应在修改处加盖供应商公章。 </w:t>
      </w:r>
    </w:p>
    <w:p>
      <w:pPr>
        <w:numPr>
          <w:ilvl w:val="0"/>
          <w:numId w:val="0"/>
        </w:numPr>
        <w:bidi w:val="0"/>
        <w:ind w:leftChars="0" w:firstLine="420" w:firstLineChars="0"/>
        <w:rPr>
          <w:highlight w:val="none"/>
        </w:rPr>
      </w:pPr>
      <w:r>
        <w:rPr>
          <w:highlight w:val="none"/>
        </w:rPr>
        <w:t xml:space="preserve">14. 投标文件的修改和撤回： </w:t>
      </w:r>
    </w:p>
    <w:p>
      <w:pPr>
        <w:numPr>
          <w:ilvl w:val="0"/>
          <w:numId w:val="0"/>
        </w:numPr>
        <w:bidi w:val="0"/>
        <w:ind w:leftChars="0" w:firstLine="420" w:firstLineChars="0"/>
        <w:rPr>
          <w:highlight w:val="none"/>
        </w:rPr>
      </w:pPr>
      <w:r>
        <w:rPr>
          <w:highlight w:val="none"/>
        </w:rPr>
        <w:t>14.1 供应商在递交投标文件后，可以修改或撤回其投标文件，但采购人必须在规定的投标截止时间之前收 到供应商的修改或撤回的书面通知。</w:t>
      </w:r>
    </w:p>
    <w:p>
      <w:pPr>
        <w:numPr>
          <w:ilvl w:val="0"/>
          <w:numId w:val="0"/>
        </w:numPr>
        <w:bidi w:val="0"/>
        <w:ind w:leftChars="0" w:firstLine="420" w:firstLineChars="0"/>
        <w:rPr>
          <w:highlight w:val="none"/>
        </w:rPr>
      </w:pPr>
      <w:r>
        <w:rPr>
          <w:highlight w:val="none"/>
        </w:rPr>
        <w:t xml:space="preserve">14.2 供应商的修改或撤回通知书应按对投标文件的规定一样进行编制、密封、标记和递交，并标明“修改” 或“撤回”字样。 </w:t>
      </w:r>
    </w:p>
    <w:p>
      <w:pPr>
        <w:numPr>
          <w:ilvl w:val="0"/>
          <w:numId w:val="0"/>
        </w:numPr>
        <w:bidi w:val="0"/>
        <w:ind w:leftChars="0" w:firstLine="420" w:firstLineChars="0"/>
        <w:rPr>
          <w:highlight w:val="none"/>
        </w:rPr>
      </w:pPr>
      <w:r>
        <w:rPr>
          <w:highlight w:val="none"/>
        </w:rPr>
        <w:t xml:space="preserve">14.3 在投标截止时间（开标时间）之后，供应商不得对其投标书做任何修改（包括开标一览表的内容）。 </w:t>
      </w:r>
    </w:p>
    <w:p>
      <w:pPr>
        <w:numPr>
          <w:ilvl w:val="0"/>
          <w:numId w:val="0"/>
        </w:numPr>
        <w:bidi w:val="0"/>
        <w:ind w:leftChars="0" w:firstLine="420" w:firstLineChars="0"/>
        <w:rPr>
          <w:highlight w:val="none"/>
        </w:rPr>
      </w:pPr>
      <w:r>
        <w:rPr>
          <w:highlight w:val="none"/>
        </w:rPr>
        <w:t xml:space="preserve">14.4 从开标时间起，至投标有效期期满，供应商不得撤回其投标，否则，其投标保证金将不予退还。 投标（此条本项目不适用，本项目采用远程不见面投标，相关规定详见前附表） </w:t>
      </w:r>
    </w:p>
    <w:p>
      <w:pPr>
        <w:numPr>
          <w:ilvl w:val="0"/>
          <w:numId w:val="0"/>
        </w:numPr>
        <w:bidi w:val="0"/>
        <w:ind w:leftChars="0" w:firstLine="420" w:firstLineChars="0"/>
        <w:rPr>
          <w:highlight w:val="none"/>
        </w:rPr>
      </w:pPr>
      <w:r>
        <w:rPr>
          <w:highlight w:val="none"/>
        </w:rPr>
        <w:t xml:space="preserve">15.密封： </w:t>
      </w:r>
    </w:p>
    <w:p>
      <w:pPr>
        <w:numPr>
          <w:ilvl w:val="0"/>
          <w:numId w:val="0"/>
        </w:numPr>
        <w:bidi w:val="0"/>
        <w:ind w:leftChars="0" w:firstLine="420" w:firstLineChars="0"/>
        <w:rPr>
          <w:highlight w:val="none"/>
        </w:rPr>
      </w:pPr>
      <w:r>
        <w:rPr>
          <w:highlight w:val="none"/>
        </w:rPr>
        <w:t xml:space="preserve">15.1 投标文件应按以下方法分别装袋密封： 投标书正本单独包封、所有副本包封到一起，正副本不得再包封。开标一览表和电子版单独封装。封口处 应加盖投标单位公章。封皮上写明招标编号、招标项目名称、投标人名称，并注明“投标人名称及地址、在年月日时分前不得开启”等字样，并有投标全权代表的签字及加盖投标单位公章。封皮样式见附件。 供应商应将投标文件装订成册、密封，在信封上标明招标项目名称、项目编号、供应商名称、地址、联系 方式和邮编，并在封口处加盖供应商公章，在《招标公告》规定的投标地点和投标截止时间前递交给采购 人。如果供应商没有按照要求密封、标记，采购人对于供应商的误投、错投以及提前拆封概不负责。 </w:t>
      </w:r>
    </w:p>
    <w:p>
      <w:pPr>
        <w:numPr>
          <w:ilvl w:val="0"/>
          <w:numId w:val="0"/>
        </w:numPr>
        <w:bidi w:val="0"/>
        <w:ind w:leftChars="0" w:firstLine="420" w:firstLineChars="0"/>
        <w:rPr>
          <w:highlight w:val="none"/>
        </w:rPr>
      </w:pPr>
      <w:r>
        <w:rPr>
          <w:highlight w:val="none"/>
        </w:rPr>
        <w:t xml:space="preserve">15.2 投标文件份数：供应商应提交投标文件正本 1 份、副本 2 份(副本可以是正本的复印件，但应骑页加 盖供应商公章)，并标明“正本”、“副本”字样，当正本与副本内容不一致时，以正本为准，电子版 3 份（载体为 U 盘），内容与正本一致，单独密封，投标授权委托人需手持法人身份证明，被授权人委托书 原件，被授权人身份证原件进行投标。 </w:t>
      </w:r>
    </w:p>
    <w:p>
      <w:pPr>
        <w:numPr>
          <w:ilvl w:val="0"/>
          <w:numId w:val="0"/>
        </w:numPr>
        <w:bidi w:val="0"/>
        <w:ind w:leftChars="0" w:firstLine="420" w:firstLineChars="0"/>
        <w:rPr>
          <w:highlight w:val="none"/>
        </w:rPr>
      </w:pPr>
      <w:r>
        <w:rPr>
          <w:highlight w:val="none"/>
        </w:rPr>
        <w:t xml:space="preserve">15.3 供应商应按第六章《投标文件构成、要求及格式》中的格式和要求单独编制一份《开标一览表》，按 照对投标文件同样的要求单独密封和标记，与投标文件同时递交。 </w:t>
      </w:r>
    </w:p>
    <w:p>
      <w:pPr>
        <w:numPr>
          <w:ilvl w:val="0"/>
          <w:numId w:val="0"/>
        </w:numPr>
        <w:bidi w:val="0"/>
        <w:ind w:leftChars="0" w:firstLine="420" w:firstLineChars="0"/>
        <w:rPr>
          <w:highlight w:val="none"/>
        </w:rPr>
      </w:pPr>
      <w:r>
        <w:rPr>
          <w:highlight w:val="none"/>
        </w:rPr>
        <w:t xml:space="preserve">15.4 采购人将拒绝接受并原封退回在规定的投标截止时间以后递交的投标文件。 </w:t>
      </w:r>
    </w:p>
    <w:p>
      <w:pPr>
        <w:numPr>
          <w:ilvl w:val="0"/>
          <w:numId w:val="0"/>
        </w:numPr>
        <w:bidi w:val="0"/>
        <w:ind w:leftChars="0" w:firstLine="420" w:firstLineChars="0"/>
        <w:rPr>
          <w:highlight w:val="none"/>
        </w:rPr>
      </w:pPr>
      <w:r>
        <w:rPr>
          <w:highlight w:val="none"/>
        </w:rPr>
        <w:t xml:space="preserve">15.5 首次招标投标截止时间结束后供应商不足三家的，可按本须知第 19 条规定办理。 </w:t>
      </w:r>
    </w:p>
    <w:p>
      <w:pPr>
        <w:numPr>
          <w:ilvl w:val="0"/>
          <w:numId w:val="0"/>
        </w:numPr>
        <w:bidi w:val="0"/>
        <w:ind w:leftChars="0" w:firstLine="420" w:firstLineChars="0"/>
        <w:rPr>
          <w:highlight w:val="none"/>
        </w:rPr>
      </w:pPr>
      <w:r>
        <w:rPr>
          <w:highlight w:val="none"/>
        </w:rPr>
        <w:t xml:space="preserve">15.6 招标采购单位在任何时候发现供应商提交的投标文件内容有下列情形之一时，将给予废标、解除合同 及赔偿损失，同时有权依法追究供应商的责任： </w:t>
      </w:r>
    </w:p>
    <w:p>
      <w:pPr>
        <w:numPr>
          <w:ilvl w:val="0"/>
          <w:numId w:val="0"/>
        </w:numPr>
        <w:bidi w:val="0"/>
        <w:ind w:leftChars="0" w:firstLine="420" w:firstLineChars="0"/>
        <w:rPr>
          <w:highlight w:val="none"/>
        </w:rPr>
      </w:pPr>
      <w:r>
        <w:rPr>
          <w:highlight w:val="none"/>
        </w:rPr>
        <w:t xml:space="preserve">15.6.1 虚假的资料。 </w:t>
      </w:r>
    </w:p>
    <w:p>
      <w:pPr>
        <w:numPr>
          <w:ilvl w:val="0"/>
          <w:numId w:val="0"/>
        </w:numPr>
        <w:bidi w:val="0"/>
        <w:ind w:leftChars="0" w:firstLine="420" w:firstLineChars="0"/>
        <w:rPr>
          <w:highlight w:val="none"/>
        </w:rPr>
      </w:pPr>
      <w:r>
        <w:rPr>
          <w:highlight w:val="none"/>
        </w:rPr>
        <w:t>15.6.2 在实质性方面失实。</w:t>
      </w:r>
    </w:p>
    <w:p>
      <w:pPr>
        <w:numPr>
          <w:ilvl w:val="0"/>
          <w:numId w:val="0"/>
        </w:numPr>
        <w:bidi w:val="0"/>
        <w:ind w:leftChars="0" w:firstLine="420" w:firstLineChars="0"/>
        <w:rPr>
          <w:highlight w:val="none"/>
        </w:rPr>
      </w:pPr>
      <w:r>
        <w:rPr>
          <w:highlight w:val="none"/>
        </w:rPr>
        <w:t xml:space="preserve">16. 开标：（此条本项目不适用，本项目采用远程不见面投标，相关规定详见前附表） </w:t>
      </w:r>
    </w:p>
    <w:p>
      <w:pPr>
        <w:numPr>
          <w:ilvl w:val="0"/>
          <w:numId w:val="0"/>
        </w:numPr>
        <w:bidi w:val="0"/>
        <w:ind w:leftChars="0" w:firstLine="420" w:firstLineChars="0"/>
        <w:rPr>
          <w:highlight w:val="none"/>
        </w:rPr>
      </w:pPr>
      <w:r>
        <w:rPr>
          <w:highlight w:val="none"/>
        </w:rPr>
        <w:t xml:space="preserve">16.1 采购人将在《招标公告》规定的时间和地点公开开标。供应商法定代表人或其授权代理人应参加并签 名报到以证明其出席，并携带有效身份证件以备审查。 </w:t>
      </w:r>
    </w:p>
    <w:p>
      <w:pPr>
        <w:numPr>
          <w:ilvl w:val="0"/>
          <w:numId w:val="0"/>
        </w:numPr>
        <w:bidi w:val="0"/>
        <w:ind w:leftChars="0" w:firstLine="420" w:firstLineChars="0"/>
        <w:rPr>
          <w:highlight w:val="none"/>
        </w:rPr>
      </w:pPr>
      <w:r>
        <w:rPr>
          <w:highlight w:val="none"/>
        </w:rPr>
        <w:t xml:space="preserve">16.2 开标会由采购人组织并主持。开标前，由监督人员和供应商代表检查投标文件的密封情况并当场宣布检查情况。 </w:t>
      </w:r>
    </w:p>
    <w:p>
      <w:pPr>
        <w:numPr>
          <w:ilvl w:val="0"/>
          <w:numId w:val="0"/>
        </w:numPr>
        <w:bidi w:val="0"/>
        <w:ind w:leftChars="0" w:firstLine="420" w:firstLineChars="0"/>
        <w:rPr>
          <w:highlight w:val="none"/>
        </w:rPr>
      </w:pPr>
      <w:r>
        <w:rPr>
          <w:highlight w:val="none"/>
        </w:rPr>
        <w:t xml:space="preserve">16.3 开标时，采购人将按照供应商提交的“开标一览表”，当众宣读供应商名称、修改和撤回投标的通知、 投标价格、交货时间、是否提交了投标保证金等内容。 </w:t>
      </w:r>
    </w:p>
    <w:p>
      <w:pPr>
        <w:numPr>
          <w:ilvl w:val="0"/>
          <w:numId w:val="0"/>
        </w:numPr>
        <w:bidi w:val="0"/>
        <w:ind w:leftChars="0" w:firstLine="420" w:firstLineChars="0"/>
        <w:rPr>
          <w:highlight w:val="none"/>
        </w:rPr>
      </w:pPr>
      <w:r>
        <w:rPr>
          <w:highlight w:val="none"/>
        </w:rPr>
        <w:t xml:space="preserve">16.4 开标时未宣读的投标价格等实质性内容，评标时不予承认。 </w:t>
      </w:r>
    </w:p>
    <w:p>
      <w:pPr>
        <w:numPr>
          <w:ilvl w:val="0"/>
          <w:numId w:val="0"/>
        </w:numPr>
        <w:bidi w:val="0"/>
        <w:ind w:leftChars="0" w:firstLine="420" w:firstLineChars="0"/>
        <w:rPr>
          <w:highlight w:val="none"/>
        </w:rPr>
      </w:pPr>
      <w:r>
        <w:rPr>
          <w:highlight w:val="none"/>
        </w:rPr>
        <w:t xml:space="preserve">16.5 按照供应商须知第 14 条的规定，提交了可接受的“撤回”通知的投标将不予开封。撤回的投标书将 原封退回供应商。 </w:t>
      </w:r>
    </w:p>
    <w:p>
      <w:pPr>
        <w:numPr>
          <w:ilvl w:val="0"/>
          <w:numId w:val="0"/>
        </w:numPr>
        <w:bidi w:val="0"/>
        <w:ind w:leftChars="0" w:firstLine="420" w:firstLineChars="0"/>
        <w:rPr>
          <w:highlight w:val="none"/>
        </w:rPr>
      </w:pPr>
      <w:r>
        <w:rPr>
          <w:highlight w:val="none"/>
        </w:rPr>
        <w:t xml:space="preserve">16.6 采购人将做开标记录，开标记录包括按本须知第 16.3 款的规定在开标时宣读的全部内容。开标记录 将在开标后由监督人员和供应商代表签字确认。 </w:t>
      </w:r>
    </w:p>
    <w:p>
      <w:pPr>
        <w:numPr>
          <w:ilvl w:val="0"/>
          <w:numId w:val="0"/>
        </w:numPr>
        <w:bidi w:val="0"/>
        <w:ind w:leftChars="0" w:firstLine="420" w:firstLineChars="0"/>
        <w:rPr>
          <w:highlight w:val="none"/>
        </w:rPr>
      </w:pPr>
      <w:r>
        <w:rPr>
          <w:highlight w:val="none"/>
        </w:rPr>
        <w:t xml:space="preserve">16.7 开标时有下列情形之一的为无效投标： </w:t>
      </w:r>
    </w:p>
    <w:p>
      <w:pPr>
        <w:numPr>
          <w:ilvl w:val="0"/>
          <w:numId w:val="0"/>
        </w:numPr>
        <w:bidi w:val="0"/>
        <w:ind w:leftChars="0" w:firstLine="420" w:firstLineChars="0"/>
        <w:rPr>
          <w:highlight w:val="none"/>
        </w:rPr>
      </w:pPr>
      <w:r>
        <w:rPr>
          <w:highlight w:val="none"/>
        </w:rPr>
        <w:t xml:space="preserve">（1）投标文件在规定的投标截止时间以后送达的； </w:t>
      </w:r>
    </w:p>
    <w:p>
      <w:pPr>
        <w:numPr>
          <w:ilvl w:val="0"/>
          <w:numId w:val="0"/>
        </w:numPr>
        <w:bidi w:val="0"/>
        <w:ind w:leftChars="0" w:firstLine="420" w:firstLineChars="0"/>
        <w:rPr>
          <w:highlight w:val="none"/>
        </w:rPr>
      </w:pPr>
      <w:r>
        <w:rPr>
          <w:highlight w:val="none"/>
        </w:rPr>
        <w:t xml:space="preserve">（2）未按招标文件规定提交投标保证金的； </w:t>
      </w:r>
    </w:p>
    <w:p>
      <w:pPr>
        <w:numPr>
          <w:ilvl w:val="0"/>
          <w:numId w:val="0"/>
        </w:numPr>
        <w:bidi w:val="0"/>
        <w:ind w:leftChars="0" w:firstLine="420" w:firstLineChars="0"/>
        <w:rPr>
          <w:highlight w:val="none"/>
        </w:rPr>
      </w:pPr>
      <w:r>
        <w:rPr>
          <w:highlight w:val="none"/>
        </w:rPr>
        <w:t xml:space="preserve">（3）投标文件未按招标文件规定密封的； </w:t>
      </w:r>
    </w:p>
    <w:p>
      <w:pPr>
        <w:numPr>
          <w:ilvl w:val="0"/>
          <w:numId w:val="0"/>
        </w:numPr>
        <w:bidi w:val="0"/>
        <w:ind w:leftChars="0" w:firstLine="420" w:firstLineChars="0"/>
        <w:rPr>
          <w:highlight w:val="none"/>
        </w:rPr>
      </w:pPr>
      <w:r>
        <w:rPr>
          <w:highlight w:val="none"/>
        </w:rPr>
        <w:t xml:space="preserve">（4）未提交单独密封的开标一览表或者开标一览表未按规定加盖公章和有效签署的； </w:t>
      </w:r>
    </w:p>
    <w:p>
      <w:pPr>
        <w:numPr>
          <w:ilvl w:val="0"/>
          <w:numId w:val="0"/>
        </w:numPr>
        <w:bidi w:val="0"/>
        <w:ind w:leftChars="0" w:firstLine="420" w:firstLineChars="0"/>
        <w:rPr>
          <w:highlight w:val="none"/>
        </w:rPr>
      </w:pPr>
      <w:r>
        <w:rPr>
          <w:highlight w:val="none"/>
        </w:rPr>
        <w:t xml:space="preserve">（5）招标文件规定开标时属于无效投标的其他情形。 </w:t>
      </w:r>
    </w:p>
    <w:p>
      <w:pPr>
        <w:numPr>
          <w:ilvl w:val="0"/>
          <w:numId w:val="0"/>
        </w:numPr>
        <w:bidi w:val="0"/>
        <w:ind w:leftChars="0" w:firstLine="420" w:firstLineChars="0"/>
        <w:rPr>
          <w:highlight w:val="none"/>
        </w:rPr>
      </w:pPr>
      <w:r>
        <w:rPr>
          <w:highlight w:val="none"/>
        </w:rPr>
        <w:t xml:space="preserve">16.8 开标时有下列情形之一的，采购人有权宣布本项目废标： </w:t>
      </w:r>
    </w:p>
    <w:p>
      <w:pPr>
        <w:numPr>
          <w:ilvl w:val="0"/>
          <w:numId w:val="0"/>
        </w:numPr>
        <w:bidi w:val="0"/>
        <w:ind w:leftChars="0" w:firstLine="420" w:firstLineChars="0"/>
        <w:rPr>
          <w:highlight w:val="none"/>
        </w:rPr>
      </w:pPr>
      <w:r>
        <w:rPr>
          <w:highlight w:val="none"/>
        </w:rPr>
        <w:t xml:space="preserve">（1）交货时间符合招标文件要求的供应商不足三家的； </w:t>
      </w:r>
    </w:p>
    <w:p>
      <w:pPr>
        <w:numPr>
          <w:ilvl w:val="0"/>
          <w:numId w:val="0"/>
        </w:numPr>
        <w:bidi w:val="0"/>
        <w:ind w:leftChars="0" w:firstLine="420" w:firstLineChars="0"/>
        <w:rPr>
          <w:highlight w:val="none"/>
        </w:rPr>
      </w:pPr>
      <w:r>
        <w:rPr>
          <w:highlight w:val="none"/>
        </w:rPr>
        <w:t xml:space="preserve">（2）所有供应商的报价均超过采购项目预算，采购人不能支付的。 </w:t>
      </w:r>
    </w:p>
    <w:p>
      <w:pPr>
        <w:numPr>
          <w:ilvl w:val="0"/>
          <w:numId w:val="0"/>
        </w:numPr>
        <w:bidi w:val="0"/>
        <w:ind w:leftChars="0" w:firstLine="420" w:firstLineChars="0"/>
        <w:rPr>
          <w:highlight w:val="none"/>
        </w:rPr>
      </w:pPr>
      <w:r>
        <w:rPr>
          <w:highlight w:val="none"/>
        </w:rPr>
        <w:t xml:space="preserve">17.评标过程的保密性：公开开标后，直至向中标的供应商授予合同时止，除按招标文件规定予以公开的 评标结果外，凡与审查、澄清、评价和比较投标有关的资料以及授标意见等，均不得向供应商及与评标无 关的其他人透露 </w:t>
      </w:r>
    </w:p>
    <w:p>
      <w:pPr>
        <w:numPr>
          <w:ilvl w:val="0"/>
          <w:numId w:val="0"/>
        </w:numPr>
        <w:bidi w:val="0"/>
        <w:ind w:leftChars="0" w:firstLine="420" w:firstLineChars="0"/>
        <w:rPr>
          <w:highlight w:val="none"/>
        </w:rPr>
      </w:pPr>
      <w:r>
        <w:rPr>
          <w:highlight w:val="none"/>
        </w:rPr>
        <w:t xml:space="preserve">18.评标： </w:t>
      </w:r>
    </w:p>
    <w:p>
      <w:pPr>
        <w:numPr>
          <w:ilvl w:val="0"/>
          <w:numId w:val="0"/>
        </w:numPr>
        <w:bidi w:val="0"/>
        <w:ind w:leftChars="0" w:firstLine="420" w:firstLineChars="0"/>
        <w:rPr>
          <w:highlight w:val="none"/>
        </w:rPr>
      </w:pPr>
      <w:r>
        <w:rPr>
          <w:highlight w:val="none"/>
        </w:rPr>
        <w:t xml:space="preserve">18.1 评标工作由采购人负责组织，具体评标工作由采购人依法组建的评标委员会负责。评标委员会由有关 的技术、经济方面的专家和采购人代表组成。评标委员会的专家成员由专家库中随机抽取产生，采购人代 表由采购人委派。需要设立评标委员会主任的，评标委员会主任由专家担任，由评标委员会成员选举产生，负责主持具体评标工作。评标委员会根据有关法律法规和招标文件规定的方法和标准独立评标，负责完成评标的全过程直至评定预中标人。采购人只负责评标组织工作，不参加评标。 </w:t>
      </w:r>
    </w:p>
    <w:p>
      <w:pPr>
        <w:numPr>
          <w:ilvl w:val="0"/>
          <w:numId w:val="0"/>
        </w:numPr>
        <w:bidi w:val="0"/>
        <w:ind w:leftChars="0" w:firstLine="420" w:firstLineChars="0"/>
        <w:rPr>
          <w:highlight w:val="none"/>
        </w:rPr>
      </w:pPr>
      <w:r>
        <w:rPr>
          <w:highlight w:val="none"/>
        </w:rPr>
        <w:t xml:space="preserve">18.2 审查是否所有供应商的报价均超过采购预算：根据《中华人民共和国政府采购法》的规定，所有供应 商的报价均超过采购预算，采购人不能支付的，应予否决处理。 </w:t>
      </w:r>
    </w:p>
    <w:p>
      <w:pPr>
        <w:numPr>
          <w:ilvl w:val="0"/>
          <w:numId w:val="0"/>
        </w:numPr>
        <w:bidi w:val="0"/>
        <w:ind w:leftChars="0" w:firstLine="420" w:firstLineChars="0"/>
        <w:rPr>
          <w:highlight w:val="none"/>
        </w:rPr>
      </w:pPr>
      <w:r>
        <w:rPr>
          <w:highlight w:val="none"/>
        </w:rPr>
        <w:t xml:space="preserve">18.3 审查供应商是否存在串通投标行为：评标委员会发现供应商有下列情形之一的，将认定属于串通投标 行为，相关供应商的投标应作废标处理。评标结束后，招标机构将以书面形式报告吉林市政府采购监督管理部门： </w:t>
      </w:r>
    </w:p>
    <w:p>
      <w:pPr>
        <w:numPr>
          <w:ilvl w:val="0"/>
          <w:numId w:val="0"/>
        </w:numPr>
        <w:bidi w:val="0"/>
        <w:ind w:leftChars="0" w:firstLine="420" w:firstLineChars="0"/>
        <w:rPr>
          <w:highlight w:val="none"/>
        </w:rPr>
      </w:pPr>
      <w:r>
        <w:rPr>
          <w:highlight w:val="none"/>
        </w:rPr>
        <w:t>（1）不同供应商的投标文件中错、漏之处相同的；</w:t>
      </w:r>
    </w:p>
    <w:p>
      <w:pPr>
        <w:numPr>
          <w:ilvl w:val="0"/>
          <w:numId w:val="0"/>
        </w:numPr>
        <w:bidi w:val="0"/>
        <w:ind w:leftChars="0" w:firstLine="420" w:firstLineChars="0"/>
        <w:rPr>
          <w:highlight w:val="none"/>
        </w:rPr>
      </w:pPr>
      <w:r>
        <w:rPr>
          <w:highlight w:val="none"/>
        </w:rPr>
        <w:t xml:space="preserve">（2）不同供应商的投标文件相互混装的，或者相互加盖了对方公章的，或者相互出现了对方法定代表人或者授权代理人签名的，或者相互书写了对方名称的； </w:t>
      </w:r>
    </w:p>
    <w:p>
      <w:pPr>
        <w:numPr>
          <w:ilvl w:val="0"/>
          <w:numId w:val="0"/>
        </w:numPr>
        <w:bidi w:val="0"/>
        <w:ind w:leftChars="0" w:firstLine="420" w:firstLineChars="0"/>
        <w:rPr>
          <w:highlight w:val="none"/>
        </w:rPr>
      </w:pPr>
      <w:r>
        <w:rPr>
          <w:highlight w:val="none"/>
        </w:rPr>
        <w:t xml:space="preserve">（3）一家供应商的投标文件中加盖了另一家供应商公章的； </w:t>
      </w:r>
    </w:p>
    <w:p>
      <w:pPr>
        <w:numPr>
          <w:ilvl w:val="0"/>
          <w:numId w:val="0"/>
        </w:numPr>
        <w:bidi w:val="0"/>
        <w:ind w:leftChars="0" w:firstLine="420" w:firstLineChars="0"/>
        <w:rPr>
          <w:highlight w:val="none"/>
        </w:rPr>
      </w:pPr>
      <w:r>
        <w:rPr>
          <w:highlight w:val="none"/>
        </w:rPr>
        <w:t xml:space="preserve">（4）不同供应商的投标文件中，项目成员出现同一人的； </w:t>
      </w:r>
    </w:p>
    <w:p>
      <w:pPr>
        <w:numPr>
          <w:ilvl w:val="0"/>
          <w:numId w:val="0"/>
        </w:numPr>
        <w:bidi w:val="0"/>
        <w:ind w:leftChars="0" w:firstLine="420" w:firstLineChars="0"/>
        <w:rPr>
          <w:highlight w:val="none"/>
        </w:rPr>
      </w:pPr>
      <w:r>
        <w:rPr>
          <w:highlight w:val="none"/>
        </w:rPr>
        <w:t xml:space="preserve">（5）不同供应商的投标文件的制作非正常一致的； </w:t>
      </w:r>
    </w:p>
    <w:p>
      <w:pPr>
        <w:numPr>
          <w:ilvl w:val="0"/>
          <w:numId w:val="0"/>
        </w:numPr>
        <w:bidi w:val="0"/>
        <w:ind w:leftChars="0" w:firstLine="420" w:firstLineChars="0"/>
        <w:rPr>
          <w:highlight w:val="none"/>
        </w:rPr>
      </w:pPr>
      <w:r>
        <w:rPr>
          <w:highlight w:val="none"/>
        </w:rPr>
        <w:t xml:space="preserve">（6）不同供应商的投标文件中相关内容的段落、字句、售后服务电话、联系人姓名等非正常一致的； </w:t>
      </w:r>
    </w:p>
    <w:p>
      <w:pPr>
        <w:numPr>
          <w:ilvl w:val="0"/>
          <w:numId w:val="0"/>
        </w:numPr>
        <w:bidi w:val="0"/>
        <w:ind w:leftChars="0" w:firstLine="420" w:firstLineChars="0"/>
        <w:rPr>
          <w:highlight w:val="none"/>
        </w:rPr>
      </w:pPr>
      <w:r>
        <w:rPr>
          <w:highlight w:val="none"/>
        </w:rPr>
        <w:t xml:space="preserve">（7）一家供应商的投标文件中装订了标有另一家供应商名称的文件材料，或者出现了另一家法定代表人或 者授予代理人签名的，其投标作废标处理； </w:t>
      </w:r>
    </w:p>
    <w:p>
      <w:pPr>
        <w:numPr>
          <w:ilvl w:val="0"/>
          <w:numId w:val="0"/>
        </w:numPr>
        <w:bidi w:val="0"/>
        <w:ind w:leftChars="0" w:firstLine="420" w:firstLineChars="0"/>
        <w:rPr>
          <w:highlight w:val="none"/>
        </w:rPr>
      </w:pPr>
      <w:r>
        <w:rPr>
          <w:highlight w:val="none"/>
        </w:rPr>
        <w:t xml:space="preserve">（8）不同供应商的投标文件由同一供应商或者同一个人编制的； </w:t>
      </w:r>
    </w:p>
    <w:p>
      <w:pPr>
        <w:numPr>
          <w:ilvl w:val="0"/>
          <w:numId w:val="0"/>
        </w:numPr>
        <w:bidi w:val="0"/>
        <w:ind w:leftChars="0" w:firstLine="420" w:firstLineChars="0"/>
        <w:rPr>
          <w:highlight w:val="none"/>
        </w:rPr>
      </w:pPr>
      <w:r>
        <w:rPr>
          <w:highlight w:val="none"/>
        </w:rPr>
        <w:t xml:space="preserve">（9）《关于禁止串通招标投标行为的暂行规定》（国家工商行政管理局令第82号）第三条规定的串通投标 行为； </w:t>
      </w:r>
    </w:p>
    <w:p>
      <w:pPr>
        <w:numPr>
          <w:ilvl w:val="0"/>
          <w:numId w:val="0"/>
        </w:numPr>
        <w:bidi w:val="0"/>
        <w:ind w:leftChars="0" w:firstLine="420" w:firstLineChars="0"/>
        <w:rPr>
          <w:highlight w:val="none"/>
        </w:rPr>
      </w:pPr>
      <w:r>
        <w:rPr>
          <w:highlight w:val="none"/>
        </w:rPr>
        <w:t xml:space="preserve">（10）供应商串通投标的其他情形。 </w:t>
      </w:r>
    </w:p>
    <w:p>
      <w:pPr>
        <w:numPr>
          <w:ilvl w:val="0"/>
          <w:numId w:val="0"/>
        </w:numPr>
        <w:bidi w:val="0"/>
        <w:ind w:leftChars="0" w:firstLine="420" w:firstLineChars="0"/>
        <w:rPr>
          <w:highlight w:val="none"/>
        </w:rPr>
      </w:pPr>
      <w:r>
        <w:rPr>
          <w:highlight w:val="none"/>
        </w:rPr>
        <w:t xml:space="preserve">18.4 对投标文件商务部分（供应商资格）进行审查：评标委员会将审查每个供应商提交的商务文件是否齐 全完整，是否合法有效，是否有重大偏离和保留，是否符合招标文件要求。商务（供应商资格）审查不符 合招标文件要求的投标文件将被拒绝。 </w:t>
      </w:r>
    </w:p>
    <w:p>
      <w:pPr>
        <w:numPr>
          <w:ilvl w:val="0"/>
          <w:numId w:val="0"/>
        </w:numPr>
        <w:bidi w:val="0"/>
        <w:ind w:leftChars="0" w:firstLine="420" w:firstLineChars="0"/>
        <w:rPr>
          <w:highlight w:val="none"/>
        </w:rPr>
      </w:pPr>
      <w:r>
        <w:rPr>
          <w:highlight w:val="none"/>
        </w:rPr>
        <w:t xml:space="preserve">18.5 对投标文件技术部分（符合性）进行审查： </w:t>
      </w:r>
    </w:p>
    <w:p>
      <w:pPr>
        <w:numPr>
          <w:ilvl w:val="0"/>
          <w:numId w:val="0"/>
        </w:numPr>
        <w:bidi w:val="0"/>
        <w:ind w:leftChars="0" w:firstLine="420" w:firstLineChars="0"/>
        <w:rPr>
          <w:highlight w:val="none"/>
        </w:rPr>
      </w:pPr>
      <w:r>
        <w:rPr>
          <w:highlight w:val="none"/>
        </w:rPr>
        <w:t xml:space="preserve">18.5.1 对于商务审查合格的供应商，评标委员会将审查其投标文件技术部分是否对招标文件规定的事项、 格式、条款和技术规格等要求都做出了实质性响应。 </w:t>
      </w:r>
    </w:p>
    <w:p>
      <w:pPr>
        <w:numPr>
          <w:ilvl w:val="0"/>
          <w:numId w:val="0"/>
        </w:numPr>
        <w:bidi w:val="0"/>
        <w:ind w:leftChars="0" w:firstLine="420" w:firstLineChars="0"/>
        <w:rPr>
          <w:highlight w:val="none"/>
        </w:rPr>
      </w:pPr>
      <w:r>
        <w:rPr>
          <w:highlight w:val="none"/>
        </w:rPr>
        <w:t xml:space="preserve">18.5.2 实质性响应的投标是指与招标文件规定的事项、条款、条件和技术规格相符，没有重大偏离和保留。 没有实质性响应招标文件要求的投标将被拒绝。 </w:t>
      </w:r>
    </w:p>
    <w:p>
      <w:pPr>
        <w:numPr>
          <w:ilvl w:val="0"/>
          <w:numId w:val="0"/>
        </w:numPr>
        <w:bidi w:val="0"/>
        <w:ind w:leftChars="0" w:firstLine="420" w:firstLineChars="0"/>
        <w:rPr>
          <w:highlight w:val="none"/>
        </w:rPr>
      </w:pPr>
      <w:r>
        <w:rPr>
          <w:highlight w:val="none"/>
        </w:rPr>
        <w:t xml:space="preserve">18.6 重大偏离和保留是指实质上影响合同的供货范围、质量和性能，或者实质上限制了合同中采购人的权 利或供应商的义务。投标文件有下列情形之一的属于重大偏离和保留，将作废标处理： </w:t>
      </w:r>
    </w:p>
    <w:p>
      <w:pPr>
        <w:numPr>
          <w:ilvl w:val="0"/>
          <w:numId w:val="0"/>
        </w:numPr>
        <w:bidi w:val="0"/>
        <w:ind w:leftChars="0" w:firstLine="420" w:firstLineChars="0"/>
        <w:rPr>
          <w:highlight w:val="none"/>
        </w:rPr>
      </w:pPr>
      <w:r>
        <w:rPr>
          <w:highlight w:val="none"/>
        </w:rPr>
        <w:t xml:space="preserve">（1）供应商未按招标文件规定提交所要求提交的全部文件或者提交的文件无效或者不符合招标文件的规定； </w:t>
      </w:r>
    </w:p>
    <w:p>
      <w:pPr>
        <w:numPr>
          <w:ilvl w:val="0"/>
          <w:numId w:val="0"/>
        </w:numPr>
        <w:bidi w:val="0"/>
        <w:ind w:leftChars="0" w:firstLine="420" w:firstLineChars="0"/>
        <w:rPr>
          <w:highlight w:val="none"/>
        </w:rPr>
      </w:pPr>
      <w:r>
        <w:rPr>
          <w:highlight w:val="none"/>
        </w:rPr>
        <w:t xml:space="preserve">（2）投标文件未按招标文件的规定有效签署和加盖公章； </w:t>
      </w:r>
    </w:p>
    <w:p>
      <w:pPr>
        <w:numPr>
          <w:ilvl w:val="0"/>
          <w:numId w:val="0"/>
        </w:numPr>
        <w:bidi w:val="0"/>
        <w:ind w:leftChars="0" w:firstLine="420" w:firstLineChars="0"/>
        <w:rPr>
          <w:highlight w:val="none"/>
        </w:rPr>
      </w:pPr>
      <w:r>
        <w:rPr>
          <w:highlight w:val="none"/>
        </w:rPr>
        <w:t xml:space="preserve">（3）投标文件载明的项目完成期限超过招标文件规定的期限； </w:t>
      </w:r>
    </w:p>
    <w:p>
      <w:pPr>
        <w:numPr>
          <w:ilvl w:val="0"/>
          <w:numId w:val="0"/>
        </w:numPr>
        <w:bidi w:val="0"/>
        <w:ind w:leftChars="0" w:firstLine="420" w:firstLineChars="0"/>
        <w:rPr>
          <w:highlight w:val="none"/>
        </w:rPr>
      </w:pPr>
      <w:r>
        <w:rPr>
          <w:highlight w:val="none"/>
        </w:rPr>
        <w:t xml:space="preserve">（4）投标文件明显不符合招标文件规定的技术规格、技术标准要求； </w:t>
      </w:r>
    </w:p>
    <w:p>
      <w:pPr>
        <w:numPr>
          <w:ilvl w:val="0"/>
          <w:numId w:val="0"/>
        </w:numPr>
        <w:bidi w:val="0"/>
        <w:ind w:leftChars="0" w:firstLine="420" w:firstLineChars="0"/>
        <w:rPr>
          <w:highlight w:val="none"/>
        </w:rPr>
      </w:pPr>
      <w:r>
        <w:rPr>
          <w:highlight w:val="none"/>
        </w:rPr>
        <w:t xml:space="preserve">（5）投标文件载明的货物包装方式、检验方法和标准等不符合招标文件要求； </w:t>
      </w:r>
    </w:p>
    <w:p>
      <w:pPr>
        <w:numPr>
          <w:ilvl w:val="0"/>
          <w:numId w:val="0"/>
        </w:numPr>
        <w:bidi w:val="0"/>
        <w:ind w:leftChars="0" w:firstLine="420" w:firstLineChars="0"/>
        <w:rPr>
          <w:highlight w:val="none"/>
        </w:rPr>
      </w:pPr>
      <w:r>
        <w:rPr>
          <w:highlight w:val="none"/>
        </w:rPr>
        <w:t xml:space="preserve">（6）投标文件附有采购人不能接受的条件； </w:t>
      </w:r>
    </w:p>
    <w:p>
      <w:pPr>
        <w:numPr>
          <w:ilvl w:val="0"/>
          <w:numId w:val="0"/>
        </w:numPr>
        <w:bidi w:val="0"/>
        <w:ind w:leftChars="0" w:firstLine="420" w:firstLineChars="0"/>
        <w:rPr>
          <w:highlight w:val="none"/>
        </w:rPr>
      </w:pPr>
      <w:r>
        <w:rPr>
          <w:highlight w:val="none"/>
        </w:rPr>
        <w:t xml:space="preserve">（7）不符合招标文件规定的其他实质性要求。 </w:t>
      </w:r>
    </w:p>
    <w:p>
      <w:pPr>
        <w:numPr>
          <w:ilvl w:val="0"/>
          <w:numId w:val="0"/>
        </w:numPr>
        <w:bidi w:val="0"/>
        <w:ind w:leftChars="0" w:firstLine="420" w:firstLineChars="0"/>
        <w:rPr>
          <w:highlight w:val="none"/>
        </w:rPr>
      </w:pPr>
      <w:r>
        <w:rPr>
          <w:highlight w:val="none"/>
        </w:rPr>
        <w:t xml:space="preserve">18.7 评标委员会将允许修正投标文件中不构成重大偏离的细微偏离，但这些修正应不会对实质上响应招标 文件要求的供应商的竞争地位（相互排序）产生不公正的影响。 </w:t>
      </w:r>
    </w:p>
    <w:p>
      <w:pPr>
        <w:numPr>
          <w:ilvl w:val="0"/>
          <w:numId w:val="0"/>
        </w:numPr>
        <w:bidi w:val="0"/>
        <w:ind w:leftChars="0" w:firstLine="420" w:firstLineChars="0"/>
        <w:rPr>
          <w:highlight w:val="none"/>
        </w:rPr>
      </w:pPr>
      <w:r>
        <w:rPr>
          <w:highlight w:val="none"/>
        </w:rPr>
        <w:t xml:space="preserve">18.8 评标委员会对投标文件的判定，只依据投标文件内容本身，不依据任何外来证明。 </w:t>
      </w:r>
    </w:p>
    <w:p>
      <w:pPr>
        <w:numPr>
          <w:ilvl w:val="0"/>
          <w:numId w:val="0"/>
        </w:numPr>
        <w:bidi w:val="0"/>
        <w:ind w:leftChars="0" w:firstLine="420" w:firstLineChars="0"/>
        <w:rPr>
          <w:highlight w:val="none"/>
        </w:rPr>
      </w:pPr>
      <w:r>
        <w:rPr>
          <w:highlight w:val="none"/>
        </w:rPr>
        <w:t xml:space="preserve">18.9 投标报价的审查：评标委员会将对商务审查、技术审查合格的投标文件的报价进行审核，看其是否有 计算和累加上的错误。修正错误的原则如下：投标报价以《开标一览表》的报价为准，《投标报价明细表》的报价与《开标一览表》的报价不一致的，供应商应按《开标一览表》的报价相应修改《投标报价明细表》 的报价，并相应修改分项报价。按上述原则调整后的价格为评标价，经供应商法定代表人或授权代理人签 字确认后对供应商具有约束力。如果供应商不按照上述原则修正其投标报价及分项报价，则其投标将被拒绝。 </w:t>
      </w:r>
    </w:p>
    <w:p>
      <w:pPr>
        <w:numPr>
          <w:ilvl w:val="0"/>
          <w:numId w:val="0"/>
        </w:numPr>
        <w:bidi w:val="0"/>
        <w:ind w:leftChars="0" w:firstLine="420" w:firstLineChars="0"/>
        <w:rPr>
          <w:highlight w:val="none"/>
        </w:rPr>
      </w:pPr>
      <w:r>
        <w:rPr>
          <w:highlight w:val="none"/>
        </w:rPr>
        <w:t xml:space="preserve">18.10 澄清：评标委员会对于投标文件实质性响应了招标文件要求，但在个别地方提供了不完整的技术信 息和数据，以及同类问题表述不一致或者有明显文字和计算错误等细微偏离问题，将以书面形式（澄清细 微偏离由评标委员会依据招标文件集体决定并由评标委员会专家签字）要求供应商在规定的时限内（在评 标结束前）作出必要的澄清、说明或者补正。供应商的澄清、说明或者补正应当采用书面形式，由供应商 法定代表人或其授权代理人签字（须提交签字人身份证件并与投标文件签字人一致），并不得超出投标文 件的范围或者改变投标文件的实质性内容。供应商拒不进行澄清、说明、补正的，或者不能在规定时间内 作出书面澄清、说明、补正的，评标委员会将拒绝其投标。接受细微偏离有利于采购成功，不应因细微偏 离而废标。 </w:t>
      </w:r>
    </w:p>
    <w:p>
      <w:pPr>
        <w:numPr>
          <w:ilvl w:val="0"/>
          <w:numId w:val="0"/>
        </w:numPr>
        <w:bidi w:val="0"/>
        <w:ind w:leftChars="0" w:firstLine="420" w:firstLineChars="0"/>
        <w:rPr>
          <w:highlight w:val="none"/>
        </w:rPr>
      </w:pPr>
      <w:r>
        <w:rPr>
          <w:highlight w:val="none"/>
        </w:rPr>
        <w:t>19.首次招标因评标过程中出现符合专业条件的投标人或者对招标文件作实质性响应的投标人不足三家情 形而否决投标，重新招标仍然出现前述情形的，以及竞争性</w:t>
      </w:r>
      <w:r>
        <w:rPr>
          <w:rFonts w:hint="eastAsia"/>
          <w:highlight w:val="none"/>
          <w:lang w:val="en-US" w:eastAsia="zh-CN"/>
        </w:rPr>
        <w:t>磋商</w:t>
      </w:r>
      <w:r>
        <w:rPr>
          <w:highlight w:val="none"/>
        </w:rPr>
        <w:t xml:space="preserve">、询价项目出现前述情形的，如果采购人 需求紧急需要直接变更方式采购，经采购人代表现场提出，评标委员会专家成员和评标监督人员同意，可 以在评标专家、采购人代表、评标监督人员、投标供应商授权代表以及采购中心或者采购代理机构工作人 员同时在场的情况下直接变更采购方式继续采购，并按下述规定办理： </w:t>
      </w:r>
    </w:p>
    <w:p>
      <w:pPr>
        <w:numPr>
          <w:ilvl w:val="0"/>
          <w:numId w:val="0"/>
        </w:numPr>
        <w:bidi w:val="0"/>
        <w:ind w:leftChars="0" w:firstLine="420" w:firstLineChars="0"/>
        <w:rPr>
          <w:highlight w:val="none"/>
        </w:rPr>
      </w:pPr>
      <w:r>
        <w:rPr>
          <w:highlight w:val="none"/>
        </w:rPr>
        <w:t xml:space="preserve">（1）采用招标方式采购项目，重新招标出现前述情形的，如果有两家供应商投标或者经评审有两家合格投 标供应商，可以直接变更为两家供应商招标或者向两家供应商询价采购。 </w:t>
      </w:r>
    </w:p>
    <w:p>
      <w:pPr>
        <w:numPr>
          <w:ilvl w:val="0"/>
          <w:numId w:val="0"/>
        </w:numPr>
        <w:bidi w:val="0"/>
        <w:ind w:leftChars="0" w:firstLine="420" w:firstLineChars="0"/>
        <w:rPr>
          <w:highlight w:val="none"/>
        </w:rPr>
      </w:pPr>
      <w:r>
        <w:rPr>
          <w:highlight w:val="none"/>
        </w:rPr>
        <w:t>（2）采用</w:t>
      </w:r>
      <w:r>
        <w:rPr>
          <w:rFonts w:hint="eastAsia"/>
          <w:highlight w:val="none"/>
          <w:lang w:eastAsia="zh-CN"/>
        </w:rPr>
        <w:t>公开招标</w:t>
      </w:r>
      <w:r>
        <w:rPr>
          <w:highlight w:val="none"/>
        </w:rPr>
        <w:t>、询价方式采购的项目，出现前述情形的，如果有两家供应商投标或者经评审由两家 合格投标供应商，原采购方式为</w:t>
      </w:r>
      <w:r>
        <w:rPr>
          <w:rFonts w:hint="eastAsia"/>
          <w:highlight w:val="none"/>
          <w:lang w:eastAsia="zh-CN"/>
        </w:rPr>
        <w:t>公开招标</w:t>
      </w:r>
      <w:r>
        <w:rPr>
          <w:highlight w:val="none"/>
        </w:rPr>
        <w:t>的，应当直接变更为两家供应商</w:t>
      </w:r>
      <w:r>
        <w:rPr>
          <w:rFonts w:hint="eastAsia"/>
          <w:highlight w:val="none"/>
          <w:lang w:eastAsia="zh-CN"/>
        </w:rPr>
        <w:t>公开招标</w:t>
      </w:r>
      <w:r>
        <w:rPr>
          <w:highlight w:val="none"/>
        </w:rPr>
        <w:t xml:space="preserve">；原采购方式为询 价的，应当直接变更为两家供应商询价采购。 </w:t>
      </w:r>
    </w:p>
    <w:p>
      <w:pPr>
        <w:numPr>
          <w:ilvl w:val="0"/>
          <w:numId w:val="0"/>
        </w:numPr>
        <w:bidi w:val="0"/>
        <w:ind w:leftChars="0" w:firstLine="420" w:firstLineChars="0"/>
        <w:rPr>
          <w:highlight w:val="none"/>
        </w:rPr>
      </w:pPr>
      <w:r>
        <w:rPr>
          <w:highlight w:val="none"/>
        </w:rPr>
        <w:t xml:space="preserve">（3）只有 1 家供应商投标，或者经评审只有 1 家合格供应商的，不得直接变更为单一来源方式采购。 采购人需要变更为单一来源方式采购的，应当在否决投标后向采购办申请批准。 </w:t>
      </w:r>
    </w:p>
    <w:p>
      <w:pPr>
        <w:numPr>
          <w:ilvl w:val="0"/>
          <w:numId w:val="0"/>
        </w:numPr>
        <w:bidi w:val="0"/>
        <w:ind w:leftChars="0" w:firstLine="420" w:firstLineChars="0"/>
        <w:rPr>
          <w:highlight w:val="none"/>
        </w:rPr>
      </w:pPr>
      <w:r>
        <w:rPr>
          <w:highlight w:val="none"/>
        </w:rPr>
        <w:t xml:space="preserve">（4）招标失败后直接变更采购方式的项目，应当当场由评标专家、采购人代表、评标监督人员和相关投标 供应商授权代表共同签署《招标失败后直接变更采购方式备忘录》。评标结束后，由采购中心或者采购代 理机构将《招标失败后直接变更采购方式备忘录》和评标纪要（评标报告）包采购办备案。 </w:t>
      </w:r>
    </w:p>
    <w:p>
      <w:pPr>
        <w:numPr>
          <w:ilvl w:val="0"/>
          <w:numId w:val="0"/>
        </w:numPr>
        <w:bidi w:val="0"/>
        <w:ind w:leftChars="0" w:firstLine="420" w:firstLineChars="0"/>
        <w:rPr>
          <w:highlight w:val="none"/>
        </w:rPr>
      </w:pPr>
      <w:r>
        <w:rPr>
          <w:highlight w:val="none"/>
        </w:rPr>
        <w:t>（5）招标失败后直接变更采购方式的条件应在采购文件中事先申明。</w:t>
      </w:r>
    </w:p>
    <w:p>
      <w:pPr>
        <w:numPr>
          <w:ilvl w:val="0"/>
          <w:numId w:val="0"/>
        </w:numPr>
        <w:bidi w:val="0"/>
        <w:ind w:leftChars="0" w:firstLine="420" w:firstLineChars="0"/>
        <w:rPr>
          <w:highlight w:val="none"/>
        </w:rPr>
      </w:pPr>
      <w:r>
        <w:rPr>
          <w:highlight w:val="none"/>
        </w:rPr>
        <w:t xml:space="preserve"> 20. 评标方法和标准： </w:t>
      </w:r>
    </w:p>
    <w:p>
      <w:pPr>
        <w:numPr>
          <w:ilvl w:val="0"/>
          <w:numId w:val="0"/>
        </w:numPr>
        <w:bidi w:val="0"/>
        <w:ind w:leftChars="0" w:firstLine="420" w:firstLineChars="0"/>
        <w:rPr>
          <w:highlight w:val="none"/>
        </w:rPr>
      </w:pPr>
      <w:r>
        <w:rPr>
          <w:highlight w:val="none"/>
        </w:rPr>
        <w:t xml:space="preserve">20.1 评标委员会将只对商务（供应商资格）审查和技术（符合性）审查均符合招标文件要求的投标进行详 细评审。 </w:t>
      </w:r>
    </w:p>
    <w:p>
      <w:pPr>
        <w:numPr>
          <w:ilvl w:val="0"/>
          <w:numId w:val="0"/>
        </w:numPr>
        <w:bidi w:val="0"/>
        <w:ind w:leftChars="0" w:firstLine="420" w:firstLineChars="0"/>
        <w:rPr>
          <w:highlight w:val="none"/>
        </w:rPr>
      </w:pPr>
      <w:r>
        <w:rPr>
          <w:highlight w:val="none"/>
        </w:rPr>
        <w:t xml:space="preserve">20.2 本项目采用综合评分法评标，评标委员会将按下述标准评定预中标人：按评审后供应商得分由高到低 的顺序排列；得分相同的，按投标报价由低到高顺序排列；得分且投标报价相同的，按技术指标优劣顺序排列。 </w:t>
      </w:r>
    </w:p>
    <w:p>
      <w:pPr>
        <w:numPr>
          <w:ilvl w:val="0"/>
          <w:numId w:val="0"/>
        </w:numPr>
        <w:bidi w:val="0"/>
        <w:ind w:leftChars="0" w:firstLine="420" w:firstLineChars="0"/>
        <w:rPr>
          <w:highlight w:val="none"/>
        </w:rPr>
      </w:pPr>
      <w:r>
        <w:rPr>
          <w:highlight w:val="none"/>
        </w:rPr>
        <w:t>本项目不接受任何额外捐赠。评标委员会在评审时，将按下列规定计算价格扣除： 1、对于供应商投标纳人财政部、国家发改委发布的《节能产品政府采购清单》的产品：</w:t>
      </w:r>
    </w:p>
    <w:p>
      <w:pPr>
        <w:numPr>
          <w:ilvl w:val="0"/>
          <w:numId w:val="8"/>
        </w:numPr>
        <w:bidi w:val="0"/>
        <w:ind w:leftChars="0" w:firstLine="420" w:firstLineChars="0"/>
        <w:rPr>
          <w:highlight w:val="none"/>
        </w:rPr>
      </w:pPr>
      <w:r>
        <w:rPr>
          <w:highlight w:val="none"/>
        </w:rPr>
        <w:t>给予投标报价得分的3％的加分，采购项目或者分包中既包含节能产品也包含非节能产品的，只对纳入《节能产品政府采购清单》的产品按其在总报价中所占的比例给予价格分加分。</w:t>
      </w:r>
    </w:p>
    <w:p>
      <w:pPr>
        <w:numPr>
          <w:ilvl w:val="0"/>
          <w:numId w:val="8"/>
        </w:numPr>
        <w:bidi w:val="0"/>
        <w:ind w:leftChars="0" w:firstLine="420" w:firstLineChars="0"/>
        <w:rPr>
          <w:rFonts w:hint="eastAsia"/>
          <w:highlight w:val="none"/>
          <w:lang w:val="zh-CN"/>
        </w:rPr>
      </w:pPr>
      <w:r>
        <w:rPr>
          <w:highlight w:val="none"/>
        </w:rPr>
        <w:t xml:space="preserve">对于技术评分项目，给予技术评分得分 的3％的加分。 </w:t>
      </w:r>
    </w:p>
    <w:p>
      <w:pPr>
        <w:numPr>
          <w:ilvl w:val="0"/>
          <w:numId w:val="0"/>
        </w:numPr>
        <w:bidi w:val="0"/>
        <w:ind w:left="420" w:leftChars="0"/>
        <w:rPr>
          <w:rFonts w:hint="eastAsia"/>
          <w:highlight w:val="none"/>
          <w:lang w:val="zh-CN"/>
        </w:rPr>
      </w:pPr>
      <w:r>
        <w:rPr>
          <w:highlight w:val="none"/>
        </w:rPr>
        <w:t>2、对于供应商投标纳入财政部、环保总局发布的《环境标志产品政府采购清单》的产品：</w:t>
      </w:r>
    </w:p>
    <w:p>
      <w:pPr>
        <w:numPr>
          <w:ilvl w:val="0"/>
          <w:numId w:val="9"/>
        </w:numPr>
        <w:bidi w:val="0"/>
        <w:ind w:leftChars="0" w:firstLine="420" w:firstLineChars="0"/>
        <w:rPr>
          <w:rFonts w:hint="eastAsia"/>
          <w:highlight w:val="none"/>
          <w:lang w:val="zh-CN"/>
        </w:rPr>
      </w:pPr>
      <w:r>
        <w:rPr>
          <w:highlight w:val="none"/>
        </w:rPr>
        <w:t>给予投标 报价得分的3％的加分，采购项目或者分包中既包含环境标志产品也包含非环境标志产品的，只对纳入《环境标志产品政府采购清单》的产品按其在总报价中所占的比例给予价格分加分。</w:t>
      </w:r>
    </w:p>
    <w:p>
      <w:pPr>
        <w:numPr>
          <w:ilvl w:val="0"/>
          <w:numId w:val="9"/>
        </w:numPr>
        <w:bidi w:val="0"/>
        <w:ind w:leftChars="0" w:firstLine="420" w:firstLineChars="0"/>
        <w:rPr>
          <w:rFonts w:hint="eastAsia"/>
          <w:highlight w:val="none"/>
          <w:lang w:val="zh-CN"/>
        </w:rPr>
      </w:pPr>
      <w:r>
        <w:rPr>
          <w:highlight w:val="none"/>
        </w:rPr>
        <w:t xml:space="preserve">对于技术评分项民 给 予技术评分得分的3％的加分。 </w:t>
      </w:r>
    </w:p>
    <w:p>
      <w:pPr>
        <w:numPr>
          <w:ilvl w:val="0"/>
          <w:numId w:val="10"/>
        </w:numPr>
        <w:bidi w:val="0"/>
        <w:ind w:left="420" w:leftChars="0"/>
        <w:rPr>
          <w:highlight w:val="none"/>
        </w:rPr>
      </w:pPr>
      <w:r>
        <w:rPr>
          <w:highlight w:val="none"/>
        </w:rPr>
        <w:t xml:space="preserve">投标产品同时纳入《环境标志产品政府采购清单》、《节能产品政府采购清单》的，将上述规定的价格 分加分比例和技术分加分比例分别叠加后计算价格分加分和技术分加分。 </w:t>
      </w:r>
    </w:p>
    <w:p>
      <w:pPr>
        <w:numPr>
          <w:ilvl w:val="0"/>
          <w:numId w:val="10"/>
        </w:numPr>
        <w:bidi w:val="0"/>
        <w:ind w:left="420" w:leftChars="0"/>
        <w:rPr>
          <w:rFonts w:hint="eastAsia"/>
          <w:highlight w:val="none"/>
          <w:lang w:val="zh-CN"/>
        </w:rPr>
      </w:pPr>
      <w:r>
        <w:rPr>
          <w:highlight w:val="none"/>
        </w:rPr>
        <w:t xml:space="preserve">根据《政府采购促进中小企业发展暂行办法》（财库【2011】181号）的规定，对满足价格扣除条件且 在投标文件中提交了《中小企业声明函》的供应商，其投标报价中由小型和微型企业制造的产品的报价扣 除6%后参与评审。 </w:t>
      </w:r>
    </w:p>
    <w:p>
      <w:pPr>
        <w:numPr>
          <w:ilvl w:val="0"/>
          <w:numId w:val="0"/>
        </w:numPr>
        <w:bidi w:val="0"/>
        <w:ind w:left="420" w:leftChars="0"/>
        <w:rPr>
          <w:highlight w:val="none"/>
        </w:rPr>
      </w:pPr>
      <w:r>
        <w:rPr>
          <w:highlight w:val="none"/>
        </w:rPr>
        <w:t xml:space="preserve">20.3预中标结果将在中国政府采购网及相关媒体上公示一个工作日，如果没有异议，预中标人确定为中标 人。如果供应商对预中标结果有异议，应当在公示期内以书面形式向招标机构提出质疑。供应商的质疑事 项应当具体、明确并提供事实依据。 </w:t>
      </w:r>
    </w:p>
    <w:p>
      <w:pPr>
        <w:numPr>
          <w:ilvl w:val="0"/>
          <w:numId w:val="11"/>
        </w:numPr>
        <w:bidi w:val="0"/>
        <w:ind w:left="420" w:leftChars="0"/>
        <w:rPr>
          <w:highlight w:val="none"/>
        </w:rPr>
      </w:pPr>
      <w:r>
        <w:rPr>
          <w:highlight w:val="none"/>
        </w:rPr>
        <w:t xml:space="preserve">签订合同： </w:t>
      </w:r>
    </w:p>
    <w:p>
      <w:pPr>
        <w:numPr>
          <w:ilvl w:val="0"/>
          <w:numId w:val="0"/>
        </w:numPr>
        <w:bidi w:val="0"/>
        <w:ind w:left="420" w:leftChars="0"/>
        <w:rPr>
          <w:highlight w:val="none"/>
        </w:rPr>
      </w:pPr>
      <w:r>
        <w:rPr>
          <w:highlight w:val="none"/>
        </w:rPr>
        <w:t xml:space="preserve">21.1采购人将在投标有效期期满之前向中标人发出《中标通知书》。中标通知书是合同的组成部分，对采 购人和中标人均具有法律约束力。 </w:t>
      </w:r>
    </w:p>
    <w:p>
      <w:pPr>
        <w:numPr>
          <w:ilvl w:val="0"/>
          <w:numId w:val="0"/>
        </w:numPr>
        <w:bidi w:val="0"/>
        <w:ind w:left="420" w:leftChars="0"/>
        <w:rPr>
          <w:highlight w:val="none"/>
        </w:rPr>
      </w:pPr>
      <w:r>
        <w:rPr>
          <w:highlight w:val="none"/>
        </w:rPr>
        <w:t xml:space="preserve">21.2中标通知书发出后，采购人改变中标结果的，或者中标人放弃中标项目的，应当依法承担法律责任。 </w:t>
      </w:r>
    </w:p>
    <w:p>
      <w:pPr>
        <w:numPr>
          <w:ilvl w:val="0"/>
          <w:numId w:val="0"/>
        </w:numPr>
        <w:bidi w:val="0"/>
        <w:ind w:left="420" w:leftChars="0"/>
        <w:rPr>
          <w:highlight w:val="none"/>
        </w:rPr>
      </w:pPr>
      <w:r>
        <w:rPr>
          <w:highlight w:val="none"/>
        </w:rPr>
        <w:t xml:space="preserve">21.3中标人应按中标通知书规定的时间与采购人和采购人签订合同。如果中标人不在规定的时间内签署合 同，视为自动放弃中标资格，其提交的投标保证金不予退还，列入不良行为记录名单，在一至三年内禁止 参加政府采购活动并予以公告。供应商在被评标委员会评定为预中标人（中标人）之后、中标通知书发出 之前放弃中标的，按本条规定处理。 </w:t>
      </w:r>
    </w:p>
    <w:p>
      <w:pPr>
        <w:numPr>
          <w:ilvl w:val="0"/>
          <w:numId w:val="0"/>
        </w:numPr>
        <w:bidi w:val="0"/>
        <w:ind w:left="420" w:leftChars="0"/>
        <w:rPr>
          <w:highlight w:val="none"/>
        </w:rPr>
      </w:pPr>
      <w:r>
        <w:rPr>
          <w:highlight w:val="none"/>
        </w:rPr>
        <w:t xml:space="preserve">21.4中标结果将在发布招标公告的媒体上公告，不再以书面方式通知落标人。 </w:t>
      </w:r>
    </w:p>
    <w:p>
      <w:pPr>
        <w:numPr>
          <w:ilvl w:val="0"/>
          <w:numId w:val="11"/>
        </w:numPr>
        <w:bidi w:val="0"/>
        <w:ind w:left="420" w:leftChars="0" w:firstLine="0" w:firstLineChars="0"/>
        <w:rPr>
          <w:highlight w:val="none"/>
        </w:rPr>
      </w:pPr>
      <w:r>
        <w:rPr>
          <w:highlight w:val="none"/>
        </w:rPr>
        <w:t xml:space="preserve">保密和披露： </w:t>
      </w:r>
    </w:p>
    <w:p>
      <w:pPr>
        <w:numPr>
          <w:ilvl w:val="0"/>
          <w:numId w:val="0"/>
        </w:numPr>
        <w:bidi w:val="0"/>
        <w:ind w:left="420" w:leftChars="0"/>
        <w:rPr>
          <w:highlight w:val="none"/>
        </w:rPr>
      </w:pPr>
      <w:r>
        <w:rPr>
          <w:highlight w:val="none"/>
        </w:rPr>
        <w:t xml:space="preserve">22.1采购人有权将供应商提供的所有资料向其他政府部门或有关的非政府机构负责评审标书的人员或与评 标有关的人员披露。 </w:t>
      </w:r>
    </w:p>
    <w:p>
      <w:pPr>
        <w:numPr>
          <w:ilvl w:val="0"/>
          <w:numId w:val="0"/>
        </w:numPr>
        <w:bidi w:val="0"/>
        <w:ind w:left="420" w:leftChars="0"/>
        <w:rPr>
          <w:highlight w:val="none"/>
        </w:rPr>
      </w:pPr>
      <w:r>
        <w:rPr>
          <w:highlight w:val="none"/>
        </w:rPr>
        <w:t>22.2在下列情形下：当发布中标公告和其它公告时，当国家机关调查、审查、审计时，以及在其他符合法 律规定的情形下，采购人无须事先征求供应商/中标人同意而可以披露关于采购过程、投标文件、合同文本、 合同签署情况的资料、供应商/中标人的名称及地址、采购内容的有关信息以及补充条款等，并且对任何已 经公布过的内容或与之内容相同的资料无须再承担保密责任。</w:t>
      </w:r>
    </w:p>
    <w:p>
      <w:pPr>
        <w:numPr>
          <w:ilvl w:val="0"/>
          <w:numId w:val="0"/>
        </w:numPr>
        <w:bidi w:val="0"/>
        <w:ind w:left="420" w:leftChars="0"/>
        <w:rPr>
          <w:highlight w:val="none"/>
        </w:rPr>
      </w:pPr>
      <w:r>
        <w:rPr>
          <w:highlight w:val="none"/>
        </w:rPr>
        <w:t xml:space="preserve">23 履约保证金：除投标人须知前附表另有规定外，投标人应按照合同约定向采购人提交合同总价款5%的 履约保证金，履约保证金期限一年。 </w:t>
      </w:r>
    </w:p>
    <w:p>
      <w:pPr>
        <w:numPr>
          <w:ilvl w:val="0"/>
          <w:numId w:val="0"/>
        </w:numPr>
        <w:bidi w:val="0"/>
        <w:ind w:left="420" w:leftChars="0"/>
        <w:rPr>
          <w:highlight w:val="none"/>
        </w:rPr>
      </w:pPr>
      <w:r>
        <w:rPr>
          <w:highlight w:val="none"/>
        </w:rPr>
        <w:t xml:space="preserve">24 招标代理服务费： </w:t>
      </w:r>
    </w:p>
    <w:p>
      <w:pPr>
        <w:numPr>
          <w:ilvl w:val="0"/>
          <w:numId w:val="0"/>
        </w:numPr>
        <w:bidi w:val="0"/>
        <w:ind w:left="420" w:leftChars="0"/>
        <w:rPr>
          <w:highlight w:val="none"/>
        </w:rPr>
      </w:pPr>
      <w:r>
        <w:rPr>
          <w:highlight w:val="none"/>
        </w:rPr>
        <w:t>24.1 招标代理服务费的收取标准按国家发展计划委员会计价格[2002]1980 号文件《招标代理服务费管理暂 行办法》、发改办价格[2003]857 号文件和发改价格[2015]299 号文件的规定执行。</w:t>
      </w:r>
    </w:p>
    <w:p>
      <w:pPr>
        <w:numPr>
          <w:ilvl w:val="0"/>
          <w:numId w:val="0"/>
        </w:numPr>
        <w:bidi w:val="0"/>
        <w:ind w:left="420" w:leftChars="0"/>
        <w:rPr>
          <w:highlight w:val="none"/>
        </w:rPr>
      </w:pPr>
      <w:r>
        <w:rPr>
          <w:highlight w:val="none"/>
        </w:rPr>
        <w:t xml:space="preserve"> 24.2 招标方按国家规定向中标人收取招标代理服务费。招标代理服务费从中标人的投标保证金中扣除。 </w:t>
      </w:r>
    </w:p>
    <w:p>
      <w:pPr>
        <w:numPr>
          <w:ilvl w:val="0"/>
          <w:numId w:val="0"/>
        </w:numPr>
        <w:bidi w:val="0"/>
        <w:ind w:left="420" w:leftChars="0"/>
        <w:rPr>
          <w:rFonts w:hint="eastAsia"/>
          <w:highlight w:val="none"/>
          <w:lang w:val="zh-CN"/>
        </w:rPr>
      </w:pPr>
      <w:r>
        <w:rPr>
          <w:highlight w:val="none"/>
        </w:rPr>
        <w:t>24.3 详见供应商须知前附表</w:t>
      </w:r>
    </w:p>
    <w:p>
      <w:pPr>
        <w:pStyle w:val="39"/>
        <w:numPr>
          <w:ilvl w:val="0"/>
          <w:numId w:val="0"/>
        </w:numPr>
        <w:spacing w:line="360" w:lineRule="auto"/>
        <w:ind w:left="425" w:leftChars="0"/>
        <w:rPr>
          <w:rFonts w:hint="eastAsia" w:ascii="仿宋" w:hAnsi="仿宋" w:eastAsia="仿宋" w:cs="仿宋"/>
          <w:color w:val="auto"/>
          <w:sz w:val="24"/>
          <w:szCs w:val="24"/>
          <w:highlight w:val="none"/>
        </w:rPr>
      </w:pPr>
    </w:p>
    <w:p>
      <w:pPr>
        <w:widowControl/>
        <w:jc w:val="left"/>
        <w:rPr>
          <w:rFonts w:hint="eastAsia" w:ascii="仿宋" w:hAnsi="仿宋" w:eastAsia="仿宋" w:cs="仿宋"/>
          <w:b/>
          <w:color w:val="auto"/>
          <w:sz w:val="24"/>
          <w:szCs w:val="24"/>
          <w:highlight w:val="none"/>
        </w:rPr>
        <w:sectPr>
          <w:footerReference r:id="rId6" w:type="default"/>
          <w:pgSz w:w="11907" w:h="16840"/>
          <w:pgMar w:top="1440" w:right="1800" w:bottom="1440" w:left="1800" w:header="680" w:footer="907" w:gutter="0"/>
          <w:pgNumType w:fmt="decimal" w:start="1"/>
          <w:cols w:space="0" w:num="1"/>
          <w:rtlGutter w:val="0"/>
          <w:docGrid w:linePitch="271" w:charSpace="0"/>
        </w:sectPr>
      </w:pPr>
    </w:p>
    <w:p>
      <w:pPr>
        <w:pStyle w:val="2"/>
        <w:bidi w:val="0"/>
        <w:rPr>
          <w:rFonts w:hint="eastAsia"/>
          <w:color w:val="auto"/>
          <w:highlight w:val="none"/>
        </w:rPr>
      </w:pPr>
      <w:bookmarkStart w:id="49" w:name="_Toc22778"/>
      <w:bookmarkStart w:id="50" w:name="_Toc27874"/>
      <w:r>
        <w:rPr>
          <w:rFonts w:hint="eastAsia"/>
          <w:color w:val="auto"/>
          <w:highlight w:val="none"/>
          <w:lang w:val="en-US" w:eastAsia="zh-CN"/>
        </w:rPr>
        <w:t xml:space="preserve">第三章 </w:t>
      </w:r>
      <w:r>
        <w:rPr>
          <w:rFonts w:hint="eastAsia"/>
          <w:color w:val="auto"/>
          <w:highlight w:val="none"/>
        </w:rPr>
        <w:t>合同条款</w:t>
      </w:r>
      <w:bookmarkEnd w:id="40"/>
      <w:bookmarkEnd w:id="41"/>
      <w:bookmarkEnd w:id="42"/>
      <w:bookmarkEnd w:id="43"/>
      <w:bookmarkEnd w:id="44"/>
      <w:bookmarkEnd w:id="45"/>
      <w:bookmarkEnd w:id="46"/>
      <w:bookmarkEnd w:id="47"/>
      <w:bookmarkEnd w:id="48"/>
      <w:bookmarkEnd w:id="49"/>
      <w:bookmarkEnd w:id="50"/>
    </w:p>
    <w:p>
      <w:pPr>
        <w:numPr>
          <w:ilvl w:val="0"/>
          <w:numId w:val="0"/>
        </w:numPr>
        <w:bidi w:val="0"/>
        <w:ind w:firstLine="42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注：（此合同文本仅为通用参考合同文本，在确定中标人后，双方将对商务、技术、承诺等内容签订更加详细的内容，采购人保留对合同条款修改的权利。） </w:t>
      </w:r>
    </w:p>
    <w:p>
      <w:pPr>
        <w:bidi w:val="0"/>
        <w:ind w:left="0" w:leftChars="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1．定义：除非另有约定，在本合同下列术语按如下定义进行解释： </w:t>
      </w:r>
    </w:p>
    <w:p>
      <w:pPr>
        <w:bidi w:val="0"/>
        <w:ind w:left="0" w:leftChars="0" w:firstLine="42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（1）“合同”指供需双方签署的、在合同中载明的合同各方所达成的协议，包括构 成合同的所有附件、附录和其他文件。 </w:t>
      </w:r>
    </w:p>
    <w:p>
      <w:pPr>
        <w:bidi w:val="0"/>
        <w:ind w:left="0" w:leftChars="0" w:firstLine="42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（2）“附件、附录”指与本合同的订立、履行有关的，经供需双方认可的，对本合同约定内容进行细化、补充、修改、变更等的文件资料。 </w:t>
      </w:r>
    </w:p>
    <w:p>
      <w:pPr>
        <w:bidi w:val="0"/>
        <w:ind w:left="0" w:leftChars="0" w:firstLine="42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（3）“合同价格”指根据合同规定供方正确地完全履行合同义务后需方应支付给供方的价格。 </w:t>
      </w:r>
    </w:p>
    <w:p>
      <w:pPr>
        <w:bidi w:val="0"/>
        <w:ind w:left="0" w:leftChars="0" w:firstLine="42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（4）“货物”指根据合同规定供方须向需方提供的一切材料、设备、机械、仪表、备件、工具和/或其它材料。 </w:t>
      </w:r>
    </w:p>
    <w:p>
      <w:pPr>
        <w:bidi w:val="0"/>
        <w:ind w:left="0" w:leftChars="0" w:firstLine="42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（5）“服务”指根据合同规定供方承担的与供货和履行合同有关的辅助服务。 </w:t>
      </w:r>
    </w:p>
    <w:p>
      <w:pPr>
        <w:bidi w:val="0"/>
        <w:ind w:left="0" w:leftChars="0" w:firstLine="42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（6）“需方”指政府招标货物和服务的使用单位。 </w:t>
      </w:r>
    </w:p>
    <w:p>
      <w:pPr>
        <w:bidi w:val="0"/>
        <w:ind w:left="0" w:leftChars="0" w:firstLine="42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（7）“供方”指按照合同规定向需方提供货物和服务的公司或实体。 </w:t>
      </w:r>
    </w:p>
    <w:p>
      <w:pPr>
        <w:bidi w:val="0"/>
        <w:ind w:left="0" w:leftChars="0" w:firstLine="42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（8）“第三方”指本合同以外的任何中国境内、境外的法人、自然人或其他组织。 </w:t>
      </w:r>
    </w:p>
    <w:p>
      <w:pPr>
        <w:bidi w:val="0"/>
        <w:ind w:left="0" w:leftChars="0" w:firstLine="42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（9）“日、天”均指日历天数。 </w:t>
      </w:r>
    </w:p>
    <w:p>
      <w:pPr>
        <w:bidi w:val="0"/>
        <w:ind w:left="0" w:leftChars="0" w:firstLine="42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（10）“工作日”指扣除公休日和国家法定节假日以外的日历日。 </w:t>
      </w:r>
    </w:p>
    <w:p>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2．合同标的：详见</w:t>
      </w:r>
      <w:r>
        <w:rPr>
          <w:rFonts w:hint="eastAsia" w:cs="仿宋"/>
          <w:color w:val="auto"/>
          <w:sz w:val="21"/>
          <w:szCs w:val="21"/>
          <w:highlight w:val="none"/>
          <w:lang w:val="en-US" w:eastAsia="zh-CN"/>
        </w:rPr>
        <w:t>招标文件</w:t>
      </w:r>
      <w:r>
        <w:rPr>
          <w:rFonts w:hint="eastAsia" w:ascii="仿宋" w:hAnsi="仿宋" w:eastAsia="仿宋" w:cs="仿宋"/>
          <w:color w:val="auto"/>
          <w:sz w:val="21"/>
          <w:szCs w:val="21"/>
          <w:highlight w:val="none"/>
          <w:lang w:val="en-US" w:eastAsia="zh-CN"/>
        </w:rPr>
        <w:t>“</w:t>
      </w:r>
      <w:r>
        <w:rPr>
          <w:rFonts w:hint="eastAsia" w:cs="仿宋"/>
          <w:color w:val="auto"/>
          <w:sz w:val="21"/>
          <w:szCs w:val="21"/>
          <w:highlight w:val="none"/>
          <w:lang w:val="en-US" w:eastAsia="zh-CN"/>
        </w:rPr>
        <w:t>服务标准和要求</w:t>
      </w:r>
      <w:r>
        <w:rPr>
          <w:rFonts w:hint="eastAsia" w:ascii="仿宋" w:hAnsi="仿宋" w:eastAsia="仿宋" w:cs="仿宋"/>
          <w:color w:val="auto"/>
          <w:sz w:val="21"/>
          <w:szCs w:val="21"/>
          <w:highlight w:val="none"/>
          <w:lang w:val="en-US" w:eastAsia="zh-CN"/>
        </w:rPr>
        <w:t xml:space="preserve">”及供方的投标文件。未尽事宜在“集中采购合同书中”约定。 </w:t>
      </w:r>
    </w:p>
    <w:p>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3．合同价格、交货时间及地点、交货方式、付款方式及条件：在“集中采购合同书”中约定。 </w:t>
      </w:r>
    </w:p>
    <w:p>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4．知识产权及有关规定：供方应保证需方在使用本合同项下的货物或其任何一部分时免受第三方提出侵犯其知识产权、商标权或工业设计权的起诉。如果发生此类问题，供方应负责交涉并承担一切费用和责任。 </w:t>
      </w:r>
    </w:p>
    <w:p>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5．包装要求：除合同另有规定外，供方提供的全部货物均应按国家或行业标准进行包装。因包装出现问题导致货物毁损的,由供方向需方直接承担责任。每一个包装箱内应附一份详细的装箱单和质量合格证书。 </w:t>
      </w:r>
    </w:p>
    <w:p>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6．包装标志：每一包装箱应用不褪色的油漆以醒目的中文字样做出相关标记。 </w:t>
      </w:r>
    </w:p>
    <w:p>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7．伴随服务 </w:t>
      </w:r>
    </w:p>
    <w:p>
      <w:pPr>
        <w:bidi w:val="0"/>
        <w:ind w:left="0" w:leftChars="0" w:firstLine="42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7.1供方应提供所交付货物的全套技术文件资料，包括产品目录、图纸、操作手册、使用说明、维护手册和服务指南等。 </w:t>
      </w:r>
    </w:p>
    <w:p>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7.2供方还应提供下列服务：货物的现场安装、启动和试运行；提供货物组装和维修所需的工具；在质量保证期内对所交付货物提供运行监督、维修、保养等；在制造厂家和/或在项目现场就货物的安装、启动、运行、维护等对需方人员进行培训。 </w:t>
      </w:r>
    </w:p>
    <w:p>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7.3上述伴随服务的费用应包含在合同总价中，不单独进行支付。 </w:t>
      </w:r>
    </w:p>
    <w:p>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8．质量保证期及售后服务 </w:t>
      </w:r>
    </w:p>
    <w:p>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8.1质量保证期及售后服务：详见</w:t>
      </w:r>
      <w:r>
        <w:rPr>
          <w:rFonts w:hint="eastAsia" w:cs="仿宋"/>
          <w:color w:val="auto"/>
          <w:sz w:val="21"/>
          <w:szCs w:val="21"/>
          <w:highlight w:val="none"/>
          <w:lang w:val="en-US" w:eastAsia="zh-CN"/>
        </w:rPr>
        <w:t>招标文件</w:t>
      </w:r>
      <w:r>
        <w:rPr>
          <w:rFonts w:hint="eastAsia" w:ascii="仿宋" w:hAnsi="仿宋" w:eastAsia="仿宋" w:cs="仿宋"/>
          <w:color w:val="auto"/>
          <w:sz w:val="21"/>
          <w:szCs w:val="21"/>
          <w:highlight w:val="none"/>
          <w:lang w:val="en-US" w:eastAsia="zh-CN"/>
        </w:rPr>
        <w:t xml:space="preserve">的要求，供方提交的售后服务承诺书和制造厂商的有关文件，如果上述文件有不一致之处，以对需方有利的为准。 </w:t>
      </w:r>
    </w:p>
    <w:p>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8.2如果上述第8.1款无特别约定，本合同项下货物的质量保证期为从需方验收合格之日起。 </w:t>
      </w:r>
    </w:p>
    <w:p>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9．质量保证 </w:t>
      </w:r>
    </w:p>
    <w:p>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9.1 供方应保证所提供的货物是原制造厂商制造的、经过合法销售渠道取得的、全新的、未使用过的，并完全符合合同规定的品牌、规格型号、技术性能、配置、质量、数量等要求。供方应保证其所提供的货物在正确安装、正常使用和保养条件下，在其使用寿命期内具有满意的性能。在货物最终验收合格交付后不少于本合同条款第8条规定的质量保证期内，供方应对其交付的货物由于设计、工艺或材料的缺陷而产生的故障负责。 </w:t>
      </w:r>
    </w:p>
    <w:p>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9.2 在质量保证期内，如果货物的规格型号、配置、技术性能、原产地及制造厂商以及其他技术质量指标与合同约定不符，或证实货物是有缺陷的，包括潜在的缺陷或使用不符合要求的材料等，需方应尽快以书面形式向供方提出索赔。 </w:t>
      </w:r>
    </w:p>
    <w:p>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9.3在质量保证期内，供方在接到需方的通知后，应在本合同条款第8条约定的响应时间内,免费维修和/或更换有缺陷的货物或部件。 </w:t>
      </w:r>
    </w:p>
    <w:p>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9.4 如果供方在接到需方通知后，在本合同条款第8条约定的响应时间内没有弥补缺陷，需方可采取必要的补救措施，但其风险和费用将由供方负担，并且需方根据合同规定对供方行使的其他权利不受影响。 </w:t>
      </w:r>
    </w:p>
    <w:p>
      <w:pPr>
        <w:bidi w:val="0"/>
        <w:ind w:left="0" w:leftChars="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10．验收：供方提交的货物由需方负责检验验收，或由需方聘请当地质检（商检）部门或有关部门对货物的品种、规格、性能、质量、数量、外观以及配件等进行检验，并出具检验证书。检验费用由供需双方协商确定。 </w:t>
      </w:r>
    </w:p>
    <w:p>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11．索赔 </w:t>
      </w:r>
    </w:p>
    <w:p>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11.1需方有权根据国家技术监督局、进出口商品检验局或其他具有法定资格的质检机构出具的检验证书向供方提出索赔。 </w:t>
      </w:r>
    </w:p>
    <w:p>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11.2如果供方对缺陷负有责任而需方提出索赔，供方应按照需方同意的下列一种或多种方式解决索赔事宜： </w:t>
      </w:r>
    </w:p>
    <w:p>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（1）供方同意退货并用合同规定的货币将货款退还给需方，并承担由此发生的一切损失和费用，包括利息、银行手续费、运费、保险费、检验费、仓储费、装卸费以及为保护退回货物所需的其他必要费用。 </w:t>
      </w:r>
    </w:p>
    <w:p>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（2）根据货物低劣、损坏程度以及需方所遭受损失的金额，经双方商定降低货物的价格。 </w:t>
      </w:r>
    </w:p>
    <w:p>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3）用符合合同规定的规格、质量和性能要求的新零件、部件和／或设备来更换有缺陷的部分和／或修补缺陷部分，供方应承担一切费用和风险，并负担需方蒙受的全部直接损失。供方应相应延长修补和／或更换件的质量保证期。 </w:t>
      </w:r>
    </w:p>
    <w:p>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11.3如果在需方发出索赔通知后十天内供方未作答复，上述索赔应视为已被供方接受。如供方未能在接到需方索赔通知后十天内或需方同意的延长期限内，按照上述第11.2款规定的任何一种或多种方式解决索赔事宜并征得需方同意，需方有权从应付货款或从供方提交的履约保证金中扣回索赔金额，并拥有对赔偿不足部分进一步索赔的权利。 </w:t>
      </w:r>
    </w:p>
    <w:p>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12．履约延误 </w:t>
      </w:r>
    </w:p>
    <w:p>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12.1 供方应按照合同规定的时间、地点交货和提供服务；需方应按照合同规定的时间、地点接收货物和接受服务。 </w:t>
      </w:r>
    </w:p>
    <w:p>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12.2 如果供方无正当理由拖延交货，将受到以下制裁：没收履约保证金、加收误期赔偿和／或违约终止合同；如果需方无正当理由拖延接收货物和接受服务，应承担相应责任。 </w:t>
      </w:r>
    </w:p>
    <w:p>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12.3 在履行合同过程中，如果供方遇到可能妨碍其按时交货和提供服务的情况，或者需方遇到可能妨碍其按时接收货物和接受服务的情况， 应及时以书面形式将拖延的事实，可能拖延的期限和理由通知对方。需方（或供方）在收到供方（或需方）通知后，应尽快对情况进行评估，并确定是否通过修改合同，酌情延长交货时间和/或延期提供服务，或者终止合同。 </w:t>
      </w:r>
    </w:p>
    <w:p>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13．误期赔偿 </w:t>
      </w:r>
    </w:p>
    <w:p>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13.1除本合同条款第15条规定的情形外，如果供方没有按照合同规定的时间交货和提供服务，供方应向需方支付误期赔偿费。误期赔偿费每周按迟交货物的交货价或延期服务的服务费用的百分之一（1%）计收，直至交货或提供服务为止。一周按七天计算，不足七天按一周计算。但误期赔偿费的最高限额不超过合同价的百分之五（5%）。 </w:t>
      </w:r>
    </w:p>
    <w:p>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13.2误期赔偿费可从应付货款和/或履约保证金中扣除。 </w:t>
      </w:r>
    </w:p>
    <w:p>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13.3收取误期赔偿费不影响需方采取合同规定的其他补救措施的权利。 </w:t>
      </w:r>
    </w:p>
    <w:p>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13.4在收取误期赔偿费期间，需方有权决定是否终止合同。 </w:t>
      </w:r>
    </w:p>
    <w:p>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13.5如果需方违约，应承担相应的违约责任。 </w:t>
      </w:r>
    </w:p>
    <w:p>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14．履约保证金和质量保证金：在集中采购合同书中约定 </w:t>
      </w:r>
    </w:p>
    <w:p>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15．不可抗力 </w:t>
      </w:r>
    </w:p>
    <w:p>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15.1 如果供方和需方因不可抗力而导致合同实施延误或不能履行合同义务，不应该承担误期赔偿或不能履行合同义务的责任。因供方或需方先延误或不能履行合同而后遇不可抗力的情形除外。 </w:t>
      </w:r>
    </w:p>
    <w:p>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15.2 本条所述的“不可抗力”系指那些双方无法控制，不可预见的事件，但不包括双方的违约或疏忽。这些事件包括但不限于：战争、严重火灾、洪水、台风、地震以及其它双方商定的事件。 </w:t>
      </w:r>
    </w:p>
    <w:p>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15.3 在不可抗力事件发生后，当事方应尽快以书面形式将不可抗力的情况和原因通知对方。双方应尽实际可能继续履行合同义务，并积极寻求采取合理的方案履行不受不可抗力影响的其他事项。双方应通过友好协商在合理的时间内达成进一步履行合同的协议。 </w:t>
      </w:r>
    </w:p>
    <w:p>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16．税费 </w:t>
      </w:r>
    </w:p>
    <w:p>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16.1 根据现行法律规定对需方征收的与本合同有关的一切税费均由需方负担。 </w:t>
      </w:r>
    </w:p>
    <w:p>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16.2 根据现行法律规定对供方征收的与本合同有关的一切税费均由供方负担。 </w:t>
      </w:r>
    </w:p>
    <w:p>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16.3 在中国境外发生的与执行本合同有关的一切税费均由供方负担。 </w:t>
      </w:r>
    </w:p>
    <w:p>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17．争议解决方式 </w:t>
      </w:r>
    </w:p>
    <w:p>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17.1 需方和供方应通过友好协商，解决在执行本合同过程中所发生的或与本合同有 </w:t>
      </w:r>
    </w:p>
    <w:p>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关的一切争议。如从协商开始十天内仍不能解决，可向国家工商行政管理机关的合同管理 </w:t>
      </w:r>
    </w:p>
    <w:p>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部门提请调解。 </w:t>
      </w:r>
    </w:p>
    <w:p>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17.2 如果调解不成，供需双方中的任何一方可向人民法院提起诉讼。诉讼由合同签 </w:t>
      </w:r>
    </w:p>
    <w:p>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订地人民法院管辖。 </w:t>
      </w:r>
    </w:p>
    <w:p>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17.3诉讼费由败诉方负担。 </w:t>
      </w:r>
    </w:p>
    <w:p>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17.4因合同部分履行引发诉讼的，在诉讼期间，除正在进行诉讼的部分外，本合同的 </w:t>
      </w:r>
    </w:p>
    <w:p>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其它部分应继续执行。 </w:t>
      </w:r>
    </w:p>
    <w:p>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18．违约终止合同 </w:t>
      </w:r>
    </w:p>
    <w:p>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18.1 在需方因供方违约而按合同约定采取的任何补救措施不受影响的情况下，需方可在下列情况下向供方发出书面通知，提出终止部分或全部合同。 </w:t>
      </w:r>
    </w:p>
    <w:p>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（1）如果供方未能在合同规定的限期或需方同意延长的限期内提供部分或全部货物和服务。 </w:t>
      </w:r>
    </w:p>
    <w:p>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（2）如果供方未能履行合同规定的其它任何义务。 </w:t>
      </w:r>
    </w:p>
    <w:p>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（3）如果供方在本合同订立和履行过程中采取了任何“不正当竞争行为”，危害到国家利益、社会公共利益和需方的合法权益。 </w:t>
      </w:r>
    </w:p>
    <w:p>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18.2 如果需方根据上述第18.1款的规定，终止了全部或部分合同，需方可以依其认为适当的条件和方法购买与未交货物类似的货物，供方应对购买类似货物所超出的那部分费用负责。供方提交的履约保证金将被作为需方采取上述补救措施的购买资金的一部分。并且，供方应继续履行合同中未终止的部分。 </w:t>
      </w:r>
    </w:p>
    <w:p>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18.3如果需方违约，应承担相应的违约责任。 </w:t>
      </w:r>
    </w:p>
    <w:p>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19．破产终止合同：如果供方破产或丧失清偿能力，需方可在任何时候以书面形式通知供方终止合同而不给供方补偿。该终止合同将不损害或影响需方已经采取或将要采取任何补救措施的权力。 </w:t>
      </w:r>
    </w:p>
    <w:p>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20．合同转让和分包：本合同不得转让与分包。 </w:t>
      </w:r>
    </w:p>
    <w:p>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21．需要补充的合同条款：在集中采购合同书中约定。 </w:t>
      </w:r>
    </w:p>
    <w:p>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22．适用法律：本合同按照中华人民共和国的现行法律进行解释。 </w:t>
      </w:r>
    </w:p>
    <w:p>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23．合同备案：自集中采购合同书订立之日起七个工作日内，向本级采购监督管理部门备案。 </w:t>
      </w:r>
    </w:p>
    <w:p>
      <w:pPr>
        <w:bidi w:val="0"/>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1"/>
          <w:szCs w:val="21"/>
          <w:highlight w:val="none"/>
          <w:lang w:val="en-US" w:eastAsia="zh-CN"/>
        </w:rPr>
        <w:t>24．政府采购法对集中采购合同变更终止的规定：“集中采购合同的双方当事人（指供需双方）不得擅自变更、中止或者终止合同。集中采购合同继续履行将损害国家利益和社会公共利益的，双方当事人应当变更、中止或者终止合同。有过错的一方应当承担赔偿责任，双方都有过错的，各自承担相应的责任。”</w:t>
      </w:r>
    </w:p>
    <w:p>
      <w:pPr>
        <w:rPr>
          <w:rFonts w:hint="eastAsia" w:ascii="仿宋" w:hAnsi="仿宋" w:eastAsia="仿宋" w:cs="仿宋"/>
          <w:color w:val="auto"/>
          <w:highlight w:val="none"/>
          <w:lang w:val="en-US" w:eastAsia="zh-CN"/>
        </w:rPr>
      </w:pPr>
      <w:bookmarkStart w:id="51" w:name="_Toc20801"/>
      <w:bookmarkStart w:id="52" w:name="_Toc179632804"/>
      <w:bookmarkStart w:id="53" w:name="_Toc152042574"/>
      <w:bookmarkStart w:id="54" w:name="_Toc144974854"/>
      <w:bookmarkStart w:id="55" w:name="_Toc55285627"/>
      <w:bookmarkStart w:id="56" w:name="_Toc152045785"/>
      <w:bookmarkStart w:id="57" w:name="_Toc246996353"/>
      <w:bookmarkStart w:id="58" w:name="_Toc52181488"/>
      <w:bookmarkStart w:id="59" w:name="_Toc246997096"/>
      <w:bookmarkStart w:id="60" w:name="_Toc247085870"/>
      <w:r>
        <w:rPr>
          <w:rFonts w:hint="eastAsia" w:ascii="仿宋" w:hAnsi="仿宋" w:eastAsia="仿宋" w:cs="仿宋"/>
          <w:color w:val="auto"/>
          <w:highlight w:val="none"/>
          <w:lang w:val="en-US" w:eastAsia="zh-CN"/>
        </w:rPr>
        <w:br w:type="page"/>
      </w:r>
    </w:p>
    <w:p>
      <w:pPr>
        <w:pStyle w:val="2"/>
        <w:bidi w:val="0"/>
        <w:rPr>
          <w:rFonts w:hint="default"/>
          <w:color w:val="auto"/>
          <w:highlight w:val="none"/>
          <w:lang w:val="en-US" w:eastAsia="zh-CN"/>
        </w:rPr>
      </w:pPr>
      <w:bookmarkStart w:id="61" w:name="_Toc13549"/>
      <w:r>
        <w:rPr>
          <w:rFonts w:hint="eastAsia"/>
          <w:color w:val="auto"/>
          <w:highlight w:val="none"/>
          <w:lang w:val="en-US" w:eastAsia="zh-CN"/>
        </w:rPr>
        <w:t xml:space="preserve">第四章 </w:t>
      </w:r>
      <w:bookmarkEnd w:id="51"/>
      <w:bookmarkEnd w:id="52"/>
      <w:bookmarkEnd w:id="53"/>
      <w:bookmarkEnd w:id="54"/>
      <w:bookmarkEnd w:id="55"/>
      <w:bookmarkEnd w:id="56"/>
      <w:bookmarkEnd w:id="57"/>
      <w:bookmarkEnd w:id="58"/>
      <w:bookmarkEnd w:id="59"/>
      <w:bookmarkEnd w:id="60"/>
      <w:r>
        <w:rPr>
          <w:rFonts w:hint="eastAsia"/>
          <w:color w:val="auto"/>
          <w:highlight w:val="none"/>
          <w:lang w:val="en-US" w:eastAsia="zh-CN"/>
        </w:rPr>
        <w:t>合同格式</w:t>
      </w:r>
      <w:bookmarkEnd w:id="61"/>
    </w:p>
    <w:p>
      <w:pPr>
        <w:keepNext w:val="0"/>
        <w:keepLines w:val="0"/>
        <w:widowControl/>
        <w:suppressLineNumbers w:val="0"/>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合同书格式</w:t>
      </w:r>
    </w:p>
    <w:p>
      <w:pPr>
        <w:numPr>
          <w:ilvl w:val="0"/>
          <w:numId w:val="0"/>
        </w:numPr>
        <w:bidi w:val="0"/>
        <w:ind w:firstLine="42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 xml:space="preserve">（此合同文本仅为通用参考合同文本，在确定中标人后，双方将对商务、技术、保修承诺等内容签订更加详细的内容，招标人保留对合同条款修订的权利。） </w:t>
      </w:r>
    </w:p>
    <w:p>
      <w:pPr>
        <w:numPr>
          <w:ilvl w:val="0"/>
          <w:numId w:val="0"/>
        </w:numPr>
        <w:bidi w:val="0"/>
        <w:ind w:firstLine="42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 xml:space="preserve">注：以实际合同为准 </w:t>
      </w:r>
    </w:p>
    <w:p>
      <w:pPr>
        <w:bidi w:val="0"/>
        <w:ind w:left="0" w:leftChars="0" w:firstLine="0" w:firstLineChars="0"/>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en-US" w:eastAsia="zh-CN"/>
        </w:rPr>
        <w:t>合同编号：</w:t>
      </w:r>
      <w:r>
        <w:rPr>
          <w:rFonts w:hint="eastAsia" w:ascii="仿宋" w:hAnsi="仿宋" w:eastAsia="仿宋" w:cs="仿宋"/>
          <w:color w:val="auto"/>
          <w:sz w:val="24"/>
          <w:szCs w:val="24"/>
          <w:highlight w:val="none"/>
          <w:u w:val="single"/>
          <w:lang w:val="en-US" w:eastAsia="zh-CN"/>
        </w:rPr>
        <w:t xml:space="preserve">                     .</w:t>
      </w:r>
    </w:p>
    <w:p>
      <w:pPr>
        <w:bidi w:val="0"/>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签订地点：</w:t>
      </w:r>
      <w:r>
        <w:rPr>
          <w:rFonts w:hint="eastAsia" w:ascii="仿宋" w:hAnsi="仿宋" w:eastAsia="仿宋" w:cs="仿宋"/>
          <w:color w:val="auto"/>
          <w:sz w:val="24"/>
          <w:szCs w:val="24"/>
          <w:highlight w:val="none"/>
          <w:u w:val="single"/>
          <w:lang w:val="en-US" w:eastAsia="zh-CN"/>
        </w:rPr>
        <w:t xml:space="preserve">                     .</w:t>
      </w:r>
    </w:p>
    <w:p>
      <w:pPr>
        <w:bidi w:val="0"/>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签订日期：</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月</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日 </w:t>
      </w:r>
    </w:p>
    <w:p>
      <w:pPr>
        <w:bidi w:val="0"/>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招标任务通知书编号： </w:t>
      </w:r>
    </w:p>
    <w:p>
      <w:pPr>
        <w:bidi w:val="0"/>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（需方）需求的</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（货物名称）经招标 公司以编号为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的</w:t>
      </w:r>
      <w:r>
        <w:rPr>
          <w:rFonts w:hint="eastAsia" w:cs="仿宋"/>
          <w:color w:val="auto"/>
          <w:sz w:val="24"/>
          <w:szCs w:val="24"/>
          <w:highlight w:val="none"/>
          <w:lang w:val="en-US" w:eastAsia="zh-CN"/>
        </w:rPr>
        <w:t>招标文件</w:t>
      </w:r>
      <w:r>
        <w:rPr>
          <w:rFonts w:hint="eastAsia" w:ascii="仿宋" w:hAnsi="仿宋" w:eastAsia="仿宋" w:cs="仿宋"/>
          <w:color w:val="auto"/>
          <w:sz w:val="24"/>
          <w:szCs w:val="24"/>
          <w:highlight w:val="none"/>
          <w:lang w:val="en-US" w:eastAsia="zh-CN"/>
        </w:rPr>
        <w:t>在国内公开招标，评标委员会评定（供方）为中标供应商。 供需双方和</w:t>
      </w:r>
      <w:r>
        <w:rPr>
          <w:rFonts w:hint="eastAsia" w:cs="仿宋"/>
          <w:color w:val="auto"/>
          <w:sz w:val="24"/>
          <w:szCs w:val="24"/>
          <w:highlight w:val="none"/>
          <w:lang w:val="en-US" w:eastAsia="zh-CN"/>
        </w:rPr>
        <w:t>中屹宬信建设集团有限公司</w:t>
      </w:r>
      <w:r>
        <w:rPr>
          <w:rFonts w:hint="eastAsia" w:ascii="仿宋" w:hAnsi="仿宋" w:eastAsia="仿宋" w:cs="仿宋"/>
          <w:color w:val="auto"/>
          <w:sz w:val="24"/>
          <w:szCs w:val="24"/>
          <w:highlight w:val="none"/>
          <w:lang w:val="en-US" w:eastAsia="zh-CN"/>
        </w:rPr>
        <w:t xml:space="preserve">按照《中华人民共和国合同法》和有关法律法规，遵循平等、自愿、公平和诚实信用原则，同意按照下面的条款和条件订立本合同，共同信守。 </w:t>
      </w:r>
    </w:p>
    <w:p>
      <w:pPr>
        <w:numPr>
          <w:ilvl w:val="0"/>
          <w:numId w:val="12"/>
        </w:numPr>
        <w:bidi w:val="0"/>
        <w:ind w:left="0" w:leftChars="0" w:firstLine="0" w:firstLineChars="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合同标的：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0"/>
        <w:gridCol w:w="2536"/>
        <w:gridCol w:w="1056"/>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0" w:type="dxa"/>
            <w:noWrap w:val="0"/>
            <w:vAlign w:val="top"/>
          </w:tcPr>
          <w:p>
            <w:pPr>
              <w:pStyle w:val="9"/>
              <w:widowControl w:val="0"/>
              <w:ind w:left="0" w:leftChars="0" w:firstLine="0" w:firstLineChars="0"/>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kern w:val="0"/>
                <w:sz w:val="24"/>
                <w:szCs w:val="24"/>
                <w:highlight w:val="none"/>
                <w:lang w:val="en-US" w:eastAsia="zh-CN" w:bidi="ar"/>
              </w:rPr>
              <w:t xml:space="preserve">招标项目名称 </w:t>
            </w:r>
          </w:p>
        </w:tc>
        <w:tc>
          <w:tcPr>
            <w:tcW w:w="2536" w:type="dxa"/>
            <w:noWrap w:val="0"/>
            <w:vAlign w:val="top"/>
          </w:tcPr>
          <w:p>
            <w:pPr>
              <w:pStyle w:val="9"/>
              <w:widowControl w:val="0"/>
              <w:ind w:left="0" w:leftChars="0" w:firstLine="0" w:firstLineChars="0"/>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kern w:val="0"/>
                <w:sz w:val="24"/>
                <w:szCs w:val="24"/>
                <w:highlight w:val="none"/>
                <w:lang w:val="en-US" w:eastAsia="zh-CN" w:bidi="ar"/>
              </w:rPr>
              <w:t>详细配置及主要技术参数</w:t>
            </w:r>
          </w:p>
        </w:tc>
        <w:tc>
          <w:tcPr>
            <w:tcW w:w="1056" w:type="dxa"/>
            <w:noWrap w:val="0"/>
            <w:vAlign w:val="top"/>
          </w:tcPr>
          <w:p>
            <w:pPr>
              <w:keepNext w:val="0"/>
              <w:keepLines w:val="0"/>
              <w:widowControl/>
              <w:suppressLineNumbers w:val="0"/>
              <w:ind w:left="0" w:leftChars="0" w:firstLine="0" w:firstLineChars="0"/>
              <w:jc w:val="left"/>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kern w:val="0"/>
                <w:sz w:val="24"/>
                <w:szCs w:val="24"/>
                <w:highlight w:val="none"/>
                <w:lang w:val="en-US" w:eastAsia="zh-CN" w:bidi="ar"/>
              </w:rPr>
              <w:t xml:space="preserve">数量 </w:t>
            </w:r>
          </w:p>
        </w:tc>
        <w:tc>
          <w:tcPr>
            <w:tcW w:w="1705" w:type="dxa"/>
            <w:noWrap w:val="0"/>
            <w:vAlign w:val="top"/>
          </w:tcPr>
          <w:p>
            <w:pPr>
              <w:pStyle w:val="9"/>
              <w:widowControl w:val="0"/>
              <w:ind w:left="0" w:leftChars="0" w:firstLine="0" w:firstLineChars="0"/>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单价（元）</w:t>
            </w:r>
          </w:p>
        </w:tc>
        <w:tc>
          <w:tcPr>
            <w:tcW w:w="1705" w:type="dxa"/>
            <w:noWrap w:val="0"/>
            <w:vAlign w:val="top"/>
          </w:tcPr>
          <w:p>
            <w:pPr>
              <w:pStyle w:val="9"/>
              <w:widowControl w:val="0"/>
              <w:ind w:left="0" w:leftChars="0" w:firstLine="0" w:firstLineChars="0"/>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小计金额（元）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0" w:type="dxa"/>
            <w:noWrap w:val="0"/>
            <w:vAlign w:val="top"/>
          </w:tcPr>
          <w:p>
            <w:pPr>
              <w:pStyle w:val="9"/>
              <w:widowControl w:val="0"/>
              <w:jc w:val="both"/>
              <w:rPr>
                <w:rFonts w:hint="eastAsia" w:ascii="仿宋" w:hAnsi="仿宋" w:eastAsia="仿宋" w:cs="仿宋"/>
                <w:color w:val="auto"/>
                <w:sz w:val="24"/>
                <w:szCs w:val="24"/>
                <w:highlight w:val="none"/>
                <w:vertAlign w:val="baseline"/>
                <w:lang w:val="en-US" w:eastAsia="zh-CN"/>
              </w:rPr>
            </w:pPr>
          </w:p>
        </w:tc>
        <w:tc>
          <w:tcPr>
            <w:tcW w:w="2536" w:type="dxa"/>
            <w:noWrap w:val="0"/>
            <w:vAlign w:val="top"/>
          </w:tcPr>
          <w:p>
            <w:pPr>
              <w:pStyle w:val="9"/>
              <w:widowControl w:val="0"/>
              <w:jc w:val="both"/>
              <w:rPr>
                <w:rFonts w:hint="eastAsia" w:ascii="仿宋" w:hAnsi="仿宋" w:eastAsia="仿宋" w:cs="仿宋"/>
                <w:color w:val="auto"/>
                <w:sz w:val="24"/>
                <w:szCs w:val="24"/>
                <w:highlight w:val="none"/>
                <w:vertAlign w:val="baseline"/>
                <w:lang w:val="en-US" w:eastAsia="zh-CN"/>
              </w:rPr>
            </w:pPr>
          </w:p>
        </w:tc>
        <w:tc>
          <w:tcPr>
            <w:tcW w:w="1056" w:type="dxa"/>
            <w:noWrap w:val="0"/>
            <w:vAlign w:val="top"/>
          </w:tcPr>
          <w:p>
            <w:pPr>
              <w:pStyle w:val="9"/>
              <w:widowControl w:val="0"/>
              <w:jc w:val="both"/>
              <w:rPr>
                <w:rFonts w:hint="eastAsia" w:ascii="仿宋" w:hAnsi="仿宋" w:eastAsia="仿宋" w:cs="仿宋"/>
                <w:color w:val="auto"/>
                <w:sz w:val="24"/>
                <w:szCs w:val="24"/>
                <w:highlight w:val="none"/>
                <w:vertAlign w:val="baseline"/>
                <w:lang w:val="en-US" w:eastAsia="zh-CN"/>
              </w:rPr>
            </w:pPr>
          </w:p>
        </w:tc>
        <w:tc>
          <w:tcPr>
            <w:tcW w:w="1705" w:type="dxa"/>
            <w:noWrap w:val="0"/>
            <w:vAlign w:val="top"/>
          </w:tcPr>
          <w:p>
            <w:pPr>
              <w:pStyle w:val="9"/>
              <w:widowControl w:val="0"/>
              <w:jc w:val="both"/>
              <w:rPr>
                <w:rFonts w:hint="eastAsia" w:ascii="仿宋" w:hAnsi="仿宋" w:eastAsia="仿宋" w:cs="仿宋"/>
                <w:color w:val="auto"/>
                <w:sz w:val="24"/>
                <w:szCs w:val="24"/>
                <w:highlight w:val="none"/>
                <w:vertAlign w:val="baseline"/>
                <w:lang w:val="en-US" w:eastAsia="zh-CN"/>
              </w:rPr>
            </w:pPr>
          </w:p>
        </w:tc>
        <w:tc>
          <w:tcPr>
            <w:tcW w:w="1705" w:type="dxa"/>
            <w:noWrap w:val="0"/>
            <w:vAlign w:val="top"/>
          </w:tcPr>
          <w:p>
            <w:pPr>
              <w:pStyle w:val="9"/>
              <w:widowControl w:val="0"/>
              <w:jc w:val="both"/>
              <w:rPr>
                <w:rFonts w:hint="eastAsia" w:ascii="仿宋" w:hAnsi="仿宋" w:eastAsia="仿宋" w:cs="仿宋"/>
                <w:color w:val="auto"/>
                <w:sz w:val="24"/>
                <w:szCs w:val="24"/>
                <w:highlight w:val="none"/>
                <w:vertAlign w:val="baseline"/>
                <w:lang w:val="en-US" w:eastAsia="zh-CN"/>
              </w:rPr>
            </w:pPr>
          </w:p>
        </w:tc>
      </w:tr>
    </w:tbl>
    <w:p>
      <w:pPr>
        <w:numPr>
          <w:ilvl w:val="0"/>
          <w:numId w:val="12"/>
        </w:numPr>
        <w:bidi w:val="0"/>
        <w:ind w:left="0" w:leftChars="0" w:firstLine="0" w:firstLineChars="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合同价格：人民币（大写）</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lang w:val="en-US" w:eastAsia="zh-CN"/>
        </w:rPr>
        <w:t>元，（小写）</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lang w:val="en-US" w:eastAsia="zh-CN"/>
        </w:rPr>
        <w:t xml:space="preserve">元。 </w:t>
      </w:r>
    </w:p>
    <w:p>
      <w:pPr>
        <w:numPr>
          <w:ilvl w:val="0"/>
          <w:numId w:val="12"/>
        </w:numPr>
        <w:bidi w:val="0"/>
        <w:ind w:left="0" w:leftChars="0" w:firstLine="0" w:firstLineChars="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服务时间、地点、方式 </w:t>
      </w:r>
    </w:p>
    <w:p>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3.1服务期： </w:t>
      </w:r>
    </w:p>
    <w:p>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3.2交货地点：</w:t>
      </w:r>
      <w:r>
        <w:rPr>
          <w:rFonts w:hint="eastAsia" w:ascii="仿宋" w:hAnsi="仿宋" w:eastAsia="仿宋" w:cs="仿宋"/>
          <w:b/>
          <w:color w:val="auto"/>
          <w:kern w:val="0"/>
          <w:sz w:val="24"/>
          <w:szCs w:val="24"/>
          <w:highlight w:val="none"/>
          <w:lang w:val="en-US" w:eastAsia="zh-CN" w:bidi="ar"/>
        </w:rPr>
        <w:t xml:space="preserve"> </w:t>
      </w:r>
    </w:p>
    <w:p>
      <w:pPr>
        <w:numPr>
          <w:ilvl w:val="0"/>
          <w:numId w:val="12"/>
        </w:numPr>
        <w:bidi w:val="0"/>
        <w:ind w:left="0" w:leftChars="0" w:firstLine="0" w:firstLineChars="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4. 付款方式 </w:t>
      </w:r>
    </w:p>
    <w:p>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4.1供方交货时应提交下列文件：销售发票，国家有关质检机构出具的检验报告或证书（如果合同约定有的话），进口产品的报关文件（如果合同约定有的话），制造厂商出具的质量检验证书、产品合格证等。 </w:t>
      </w:r>
    </w:p>
    <w:p>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4.2付款：以实际合同为准 </w:t>
      </w:r>
    </w:p>
    <w:p>
      <w:pPr>
        <w:numPr>
          <w:ilvl w:val="0"/>
          <w:numId w:val="12"/>
        </w:numPr>
        <w:bidi w:val="0"/>
        <w:ind w:left="0" w:leftChars="0" w:firstLine="0" w:firstLineChars="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 xml:space="preserve">履约保证金 </w:t>
      </w:r>
    </w:p>
    <w:p>
      <w:pPr>
        <w:keepNext w:val="0"/>
        <w:keepLines w:val="0"/>
        <w:widowControl/>
        <w:suppressLineNumbers w:val="0"/>
        <w:jc w:val="left"/>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5.1 在签署本合同之前，供方应向需方提交合同总价1%的履约保证金（人民币，取整数位到百元）。履约保证金可以采用银行转帐方式提交。 </w:t>
      </w:r>
    </w:p>
    <w:p>
      <w:pPr>
        <w:numPr>
          <w:ilvl w:val="0"/>
          <w:numId w:val="12"/>
        </w:numPr>
        <w:bidi w:val="0"/>
        <w:ind w:left="0" w:leftChars="0" w:firstLine="0" w:firstLineChars="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 xml:space="preserve">质量保证金 </w:t>
      </w:r>
    </w:p>
    <w:p>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6.1质量保证金为合同总价款的       % </w:t>
      </w:r>
    </w:p>
    <w:p>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6.2质量保证金由供方的履约保证金（如计取）转为质量保证金。 </w:t>
      </w:r>
    </w:p>
    <w:p>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6.3质量保证金的有效期到合同规定的质保期期满之日止，扣除供方承担质量保证责任的费用后，剩余部分在质量保证期期满后20个工作日内返还，不计利息。 </w:t>
      </w:r>
    </w:p>
    <w:p>
      <w:pPr>
        <w:numPr>
          <w:ilvl w:val="0"/>
          <w:numId w:val="12"/>
        </w:numPr>
        <w:bidi w:val="0"/>
        <w:ind w:left="0" w:leftChars="0" w:firstLine="0" w:firstLineChars="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 xml:space="preserve">成果验收：项目提交成果通过甲方组织的专家验收。 </w:t>
      </w:r>
    </w:p>
    <w:p>
      <w:pPr>
        <w:numPr>
          <w:ilvl w:val="0"/>
          <w:numId w:val="12"/>
        </w:numPr>
        <w:bidi w:val="0"/>
        <w:ind w:left="0" w:leftChars="0" w:firstLine="0" w:firstLineChars="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合同构成：</w:t>
      </w:r>
    </w:p>
    <w:p>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下列文件构成本合同不可分割的组成部分，与本合同具有同等法律效力： </w:t>
      </w:r>
    </w:p>
    <w:p>
      <w:pPr>
        <w:keepNext w:val="0"/>
        <w:keepLines w:val="0"/>
        <w:widowControl/>
        <w:suppressLineNumbers w:val="0"/>
        <w:ind w:firstLine="897" w:firstLineChars="374"/>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8.1本合同书； </w:t>
      </w:r>
    </w:p>
    <w:p>
      <w:pPr>
        <w:keepNext w:val="0"/>
        <w:keepLines w:val="0"/>
        <w:widowControl/>
        <w:suppressLineNumbers w:val="0"/>
        <w:ind w:firstLine="897" w:firstLineChars="374"/>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8.2中标通知书； </w:t>
      </w:r>
    </w:p>
    <w:p>
      <w:pPr>
        <w:keepNext w:val="0"/>
        <w:keepLines w:val="0"/>
        <w:widowControl/>
        <w:suppressLineNumbers w:val="0"/>
        <w:ind w:firstLine="897" w:firstLineChars="374"/>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8.3</w:t>
      </w:r>
      <w:r>
        <w:rPr>
          <w:rFonts w:hint="eastAsia" w:cs="仿宋"/>
          <w:color w:val="auto"/>
          <w:kern w:val="0"/>
          <w:sz w:val="24"/>
          <w:szCs w:val="24"/>
          <w:highlight w:val="none"/>
          <w:lang w:val="en-US" w:eastAsia="zh-CN" w:bidi="ar"/>
        </w:rPr>
        <w:t>招标文件</w:t>
      </w:r>
      <w:r>
        <w:rPr>
          <w:rFonts w:hint="eastAsia" w:ascii="仿宋" w:hAnsi="仿宋" w:eastAsia="仿宋" w:cs="仿宋"/>
          <w:color w:val="auto"/>
          <w:kern w:val="0"/>
          <w:sz w:val="24"/>
          <w:szCs w:val="24"/>
          <w:highlight w:val="none"/>
          <w:lang w:val="en-US" w:eastAsia="zh-CN" w:bidi="ar"/>
        </w:rPr>
        <w:t xml:space="preserve">及澄清、修改、补遗文件； </w:t>
      </w:r>
    </w:p>
    <w:p>
      <w:pPr>
        <w:keepNext w:val="0"/>
        <w:keepLines w:val="0"/>
        <w:widowControl/>
        <w:suppressLineNumbers w:val="0"/>
        <w:ind w:firstLine="897" w:firstLineChars="374"/>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8.4供方的投标文件及书面澄清、说明、补正文件； </w:t>
      </w:r>
    </w:p>
    <w:p>
      <w:pPr>
        <w:keepNext w:val="0"/>
        <w:keepLines w:val="0"/>
        <w:widowControl/>
        <w:suppressLineNumbers w:val="0"/>
        <w:ind w:firstLine="897" w:firstLineChars="374"/>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8.5产品样本、样品（样机）、说明书、图纸等有关资料； </w:t>
      </w:r>
    </w:p>
    <w:p>
      <w:pPr>
        <w:keepNext w:val="0"/>
        <w:keepLines w:val="0"/>
        <w:widowControl/>
        <w:suppressLineNumbers w:val="0"/>
        <w:ind w:firstLine="897" w:firstLineChars="374"/>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8.6政府招标验收报告单； </w:t>
      </w:r>
    </w:p>
    <w:p>
      <w:pPr>
        <w:keepNext w:val="0"/>
        <w:keepLines w:val="0"/>
        <w:widowControl/>
        <w:suppressLineNumbers w:val="0"/>
        <w:ind w:firstLine="897" w:firstLineChars="374"/>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8.7合同的其它附件。 </w:t>
      </w:r>
    </w:p>
    <w:p>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上述组成合同的文件如有不一致之处，以日期在后的为准。 </w:t>
      </w:r>
    </w:p>
    <w:p>
      <w:pPr>
        <w:numPr>
          <w:ilvl w:val="0"/>
          <w:numId w:val="12"/>
        </w:numPr>
        <w:bidi w:val="0"/>
        <w:ind w:left="0" w:leftChars="0" w:firstLine="0" w:firstLineChars="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合同份数：</w:t>
      </w:r>
    </w:p>
    <w:p>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本合同一式三份，供需双方各执一份，另一份需提交至监管部门做备存。 </w:t>
      </w:r>
    </w:p>
    <w:p>
      <w:pPr>
        <w:numPr>
          <w:ilvl w:val="0"/>
          <w:numId w:val="12"/>
        </w:numPr>
        <w:bidi w:val="0"/>
        <w:ind w:left="0" w:leftChars="0" w:firstLine="0" w:firstLineChars="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合同生效：</w:t>
      </w:r>
    </w:p>
    <w:p>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本合同在供需双方法定代表人或其授权代理人签字、加盖双方公章或者合同专用章，并且需方收到供方提交的履约保证金（如计取）后生效。 </w:t>
      </w:r>
    </w:p>
    <w:p>
      <w:pPr>
        <w:numPr>
          <w:ilvl w:val="0"/>
          <w:numId w:val="12"/>
        </w:numPr>
        <w:bidi w:val="0"/>
        <w:ind w:left="0" w:leftChars="0" w:firstLine="0" w:firstLineChars="0"/>
        <w:rPr>
          <w:rFonts w:hint="eastAsia" w:ascii="仿宋" w:hAnsi="仿宋" w:eastAsia="仿宋" w:cs="仿宋"/>
          <w:b/>
          <w:color w:val="auto"/>
          <w:kern w:val="0"/>
          <w:sz w:val="24"/>
          <w:szCs w:val="24"/>
          <w:highlight w:val="none"/>
          <w:lang w:val="en-US" w:eastAsia="zh-CN" w:bidi="ar"/>
        </w:rPr>
      </w:pPr>
      <w:r>
        <w:rPr>
          <w:rFonts w:hint="eastAsia" w:ascii="仿宋" w:hAnsi="仿宋" w:eastAsia="仿宋" w:cs="仿宋"/>
          <w:b/>
          <w:color w:val="auto"/>
          <w:kern w:val="0"/>
          <w:sz w:val="24"/>
          <w:szCs w:val="24"/>
          <w:highlight w:val="none"/>
          <w:lang w:val="en-US" w:eastAsia="zh-CN" w:bidi="ar"/>
        </w:rPr>
        <w:t>合同修改：</w:t>
      </w:r>
    </w:p>
    <w:p>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除供需双方签署书面修改、补充协议外，本合同条件不得有任何变化或修改。 </w:t>
      </w:r>
    </w:p>
    <w:p>
      <w:pPr>
        <w:pStyle w:val="9"/>
        <w:rPr>
          <w:rFonts w:hint="eastAsia" w:ascii="仿宋" w:hAnsi="仿宋" w:eastAsia="仿宋" w:cs="仿宋"/>
          <w:color w:val="auto"/>
          <w:kern w:val="0"/>
          <w:sz w:val="24"/>
          <w:szCs w:val="24"/>
          <w:highlight w:val="none"/>
          <w:lang w:val="en-US" w:eastAsia="zh-CN" w:bidi="ar"/>
        </w:rPr>
      </w:pPr>
    </w:p>
    <w:p>
      <w:pPr>
        <w:pStyle w:val="9"/>
        <w:rPr>
          <w:rFonts w:hint="eastAsia" w:ascii="仿宋" w:hAnsi="仿宋" w:eastAsia="仿宋" w:cs="仿宋"/>
          <w:color w:val="auto"/>
          <w:kern w:val="0"/>
          <w:sz w:val="24"/>
          <w:szCs w:val="24"/>
          <w:highlight w:val="none"/>
          <w:lang w:val="en-US" w:eastAsia="zh-CN" w:bidi="ar"/>
        </w:rPr>
      </w:pPr>
    </w:p>
    <w:p>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需方： </w:t>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 xml:space="preserve">供方： </w:t>
      </w:r>
    </w:p>
    <w:p>
      <w:pPr>
        <w:keepNext w:val="0"/>
        <w:keepLines w:val="0"/>
        <w:widowControl/>
        <w:suppressLineNumbers w:val="0"/>
        <w:ind w:firstLine="897" w:firstLineChars="374"/>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（加盖公章或合同专用章） </w:t>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 xml:space="preserve">（加盖公章或合同专用章） </w:t>
      </w:r>
    </w:p>
    <w:p>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地址： </w:t>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 xml:space="preserve">地址： </w:t>
      </w:r>
    </w:p>
    <w:p>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法定代表人</w:t>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 xml:space="preserve">法定代表人 </w:t>
      </w:r>
    </w:p>
    <w:p>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或授权代理人签字： </w:t>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 xml:space="preserve">或授权代理人签字： </w:t>
      </w:r>
    </w:p>
    <w:p>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签字日期： </w:t>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 xml:space="preserve">签字日期： </w:t>
      </w:r>
    </w:p>
    <w:p>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邮政编码： </w:t>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 xml:space="preserve">邮政编码： </w:t>
      </w:r>
    </w:p>
    <w:p>
      <w:pPr>
        <w:keepNext w:val="0"/>
        <w:keepLines w:val="0"/>
        <w:widowControl/>
        <w:suppressLineNumbers w:val="0"/>
        <w:ind w:firstLine="4238" w:firstLineChars="1766"/>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电话： </w:t>
      </w:r>
    </w:p>
    <w:p>
      <w:pPr>
        <w:keepNext w:val="0"/>
        <w:keepLines w:val="0"/>
        <w:widowControl/>
        <w:suppressLineNumbers w:val="0"/>
        <w:ind w:firstLine="4238" w:firstLineChars="1766"/>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传真： </w:t>
      </w:r>
    </w:p>
    <w:p>
      <w:pPr>
        <w:keepNext w:val="0"/>
        <w:keepLines w:val="0"/>
        <w:widowControl/>
        <w:suppressLineNumbers w:val="0"/>
        <w:ind w:firstLine="4238" w:firstLineChars="1766"/>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联系人： </w:t>
      </w:r>
    </w:p>
    <w:p>
      <w:pPr>
        <w:keepNext w:val="0"/>
        <w:keepLines w:val="0"/>
        <w:widowControl/>
        <w:suppressLineNumbers w:val="0"/>
        <w:ind w:firstLine="4238" w:firstLineChars="1766"/>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开户银行： </w:t>
      </w:r>
    </w:p>
    <w:p>
      <w:pPr>
        <w:keepNext w:val="0"/>
        <w:keepLines w:val="0"/>
        <w:widowControl/>
        <w:suppressLineNumbers w:val="0"/>
        <w:ind w:firstLine="4238" w:firstLineChars="1766"/>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帐户名称： </w:t>
      </w:r>
    </w:p>
    <w:p>
      <w:pPr>
        <w:pStyle w:val="39"/>
        <w:rPr>
          <w:rFonts w:hint="eastAsia" w:ascii="仿宋" w:hAnsi="仿宋" w:eastAsia="仿宋" w:cs="仿宋"/>
          <w:color w:val="auto"/>
          <w:sz w:val="28"/>
          <w:szCs w:val="28"/>
          <w:highlight w:val="none"/>
          <w:lang w:val="en-US" w:eastAsia="zh-CN"/>
        </w:rPr>
      </w:pPr>
      <w:r>
        <w:rPr>
          <w:rFonts w:hint="eastAsia" w:ascii="仿宋" w:hAnsi="仿宋" w:eastAsia="仿宋" w:cs="仿宋"/>
          <w:color w:val="auto"/>
          <w:kern w:val="0"/>
          <w:sz w:val="24"/>
          <w:szCs w:val="24"/>
          <w:highlight w:val="none"/>
          <w:lang w:val="en-US" w:eastAsia="zh-CN" w:bidi="ar"/>
        </w:rPr>
        <w:t>帐号：</w:t>
      </w:r>
    </w:p>
    <w:p>
      <w:pPr>
        <w:pStyle w:val="2"/>
        <w:numPr>
          <w:ilvl w:val="0"/>
          <w:numId w:val="0"/>
        </w:numPr>
        <w:ind w:leftChars="0"/>
        <w:jc w:val="center"/>
        <w:rPr>
          <w:rFonts w:hint="eastAsia" w:ascii="仿宋" w:hAnsi="仿宋" w:eastAsia="仿宋" w:cs="仿宋"/>
          <w:color w:val="auto"/>
          <w:highlight w:val="none"/>
        </w:rPr>
      </w:pPr>
      <w:bookmarkStart w:id="62" w:name="_Toc247085872"/>
      <w:bookmarkStart w:id="63" w:name="_Toc152045786"/>
      <w:bookmarkStart w:id="64" w:name="_Toc144974855"/>
      <w:bookmarkStart w:id="65" w:name="_Toc246997097"/>
      <w:bookmarkStart w:id="66" w:name="_Toc179632806"/>
      <w:bookmarkStart w:id="67" w:name="_Toc152042575"/>
      <w:bookmarkStart w:id="68" w:name="_Toc246996354"/>
      <w:r>
        <w:rPr>
          <w:rFonts w:hint="eastAsia" w:ascii="仿宋" w:hAnsi="仿宋" w:eastAsia="仿宋" w:cs="仿宋"/>
          <w:color w:val="auto"/>
          <w:szCs w:val="21"/>
          <w:highlight w:val="none"/>
        </w:rPr>
        <w:br w:type="page"/>
      </w:r>
      <w:bookmarkEnd w:id="62"/>
      <w:bookmarkEnd w:id="63"/>
      <w:bookmarkEnd w:id="64"/>
      <w:bookmarkEnd w:id="65"/>
      <w:bookmarkEnd w:id="66"/>
      <w:bookmarkEnd w:id="67"/>
      <w:bookmarkEnd w:id="68"/>
      <w:bookmarkStart w:id="69" w:name="_Toc9126"/>
      <w:bookmarkStart w:id="70" w:name="_Toc6025"/>
      <w:r>
        <w:rPr>
          <w:rFonts w:hint="eastAsia" w:ascii="仿宋" w:hAnsi="仿宋" w:eastAsia="仿宋" w:cs="仿宋"/>
          <w:color w:val="auto"/>
          <w:szCs w:val="21"/>
          <w:highlight w:val="none"/>
          <w:lang w:val="en-US" w:eastAsia="zh-CN"/>
        </w:rPr>
        <w:t xml:space="preserve">第五章 </w:t>
      </w:r>
      <w:bookmarkEnd w:id="69"/>
      <w:bookmarkEnd w:id="70"/>
      <w:r>
        <w:rPr>
          <w:rFonts w:hint="eastAsia" w:cs="仿宋"/>
          <w:color w:val="auto"/>
          <w:szCs w:val="44"/>
          <w:highlight w:val="none"/>
          <w:lang w:eastAsia="zh-CN"/>
        </w:rPr>
        <w:t>服务</w:t>
      </w:r>
      <w:r>
        <w:rPr>
          <w:rFonts w:hint="eastAsia" w:cs="仿宋"/>
          <w:color w:val="auto"/>
          <w:szCs w:val="44"/>
          <w:highlight w:val="none"/>
          <w:lang w:val="en-US" w:eastAsia="zh-CN"/>
        </w:rPr>
        <w:t>内容</w:t>
      </w:r>
    </w:p>
    <w:p>
      <w:pPr>
        <w:spacing w:line="400" w:lineRule="exact"/>
        <w:ind w:firstLine="480" w:firstLineChars="200"/>
        <w:jc w:val="left"/>
        <w:rPr>
          <w:rFonts w:hint="eastAsia" w:ascii="宋体" w:hAnsi="宋体" w:cs="宋体"/>
          <w:bCs/>
          <w:szCs w:val="21"/>
          <w:highlight w:val="none"/>
          <w:lang w:val="zh-CN"/>
        </w:rPr>
      </w:pPr>
      <w:r>
        <w:rPr>
          <w:rFonts w:hint="eastAsia" w:ascii="宋体" w:hAnsi="宋体" w:cs="宋体"/>
          <w:bCs/>
          <w:szCs w:val="21"/>
          <w:highlight w:val="none"/>
          <w:lang w:val="en-US" w:eastAsia="zh-CN"/>
        </w:rPr>
        <w:t>1、</w:t>
      </w:r>
      <w:r>
        <w:rPr>
          <w:rFonts w:hint="eastAsia" w:ascii="宋体" w:hAnsi="宋体" w:cs="宋体"/>
          <w:bCs/>
          <w:szCs w:val="21"/>
          <w:highlight w:val="none"/>
          <w:lang w:val="zh-CN"/>
        </w:rPr>
        <w:t>围绕国家中小企业数字化转型试点城市工作总体要求，拟选取第三方验收测评机构，为吉林市中小企业数字化转型试点城市工作提供支撑，按照工信部发布的最新版《中小企业数字化水平评测指标》，评定企业改造后的数字化水平等级，出具评测等级报告、完成改造成效验收等工作。同时，对试点城市及数字化转型工作中，涉及的优秀服务商遴选、“小快轻准”产品评选、转型标杆企业遴选等相关工作，提供专家评审支持。</w:t>
      </w:r>
    </w:p>
    <w:p>
      <w:pPr>
        <w:spacing w:line="400" w:lineRule="exact"/>
        <w:ind w:firstLine="48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2、依据工信部最新版《中小企业数字化水平评测指标》，结合</w:t>
      </w:r>
      <w:r>
        <w:rPr>
          <w:rFonts w:hint="eastAsia" w:ascii="宋体" w:hAnsi="宋体" w:cs="宋体"/>
          <w:bCs/>
          <w:szCs w:val="21"/>
          <w:highlight w:val="none"/>
          <w:lang w:val="en-US" w:eastAsia="zh-CN"/>
        </w:rPr>
        <w:t>吉林市</w:t>
      </w:r>
      <w:r>
        <w:rPr>
          <w:rFonts w:hint="eastAsia" w:ascii="宋体" w:hAnsi="宋体" w:cs="宋体"/>
          <w:bCs/>
          <w:szCs w:val="21"/>
          <w:highlight w:val="none"/>
          <w:lang w:val="zh-CN"/>
        </w:rPr>
        <w:t>细分行业中小企业数字化转型现状，因地制宜构建本地化标准化的中小企业数字化水平评测模式和流程，制定切实可行的评测工作实施方案，运用科学高效的评测方法和工具，从试点企业数字化基础、数字化管理、数字化成效和数字化经营等4个维度，进行数字化水平综合评测和等级判定，完成试点企业现场评测并出具评测咨询报告。</w:t>
      </w:r>
    </w:p>
    <w:p>
      <w:pPr>
        <w:spacing w:line="400" w:lineRule="exact"/>
        <w:ind w:firstLine="48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3、协助</w:t>
      </w:r>
      <w:r>
        <w:rPr>
          <w:rFonts w:hint="eastAsia" w:ascii="宋体" w:hAnsi="宋体" w:cs="宋体"/>
          <w:bCs/>
          <w:szCs w:val="21"/>
          <w:highlight w:val="none"/>
          <w:lang w:val="en-US" w:eastAsia="zh-CN"/>
        </w:rPr>
        <w:t>吉林</w:t>
      </w:r>
      <w:r>
        <w:rPr>
          <w:rFonts w:hint="eastAsia" w:ascii="宋体" w:hAnsi="宋体" w:cs="宋体"/>
          <w:bCs/>
          <w:szCs w:val="21"/>
          <w:highlight w:val="none"/>
          <w:lang w:val="zh-CN"/>
        </w:rPr>
        <w:t>市工信局，完成试点企业数字化改造项目及成效的验收和评价，对试点城市及数字化转型工作中涉及的优秀数字化服务商、“小快轻准”产品、“链式”转型案例、小灯塔工厂等评选遴选工作提供专家评审支持。</w:t>
      </w:r>
    </w:p>
    <w:p>
      <w:pPr>
        <w:pStyle w:val="2"/>
        <w:numPr>
          <w:ilvl w:val="0"/>
          <w:numId w:val="0"/>
        </w:numPr>
        <w:ind w:leftChars="0"/>
        <w:jc w:val="both"/>
        <w:rPr>
          <w:rFonts w:hint="eastAsia" w:ascii="仿宋" w:hAnsi="仿宋" w:eastAsia="仿宋" w:cs="仿宋"/>
          <w:color w:val="auto"/>
          <w:szCs w:val="21"/>
          <w:highlight w:val="none"/>
          <w:lang w:val="en-US" w:eastAsia="zh-CN"/>
        </w:rPr>
      </w:pPr>
      <w:bookmarkStart w:id="71" w:name="_Toc5281"/>
    </w:p>
    <w:p>
      <w:pPr>
        <w:pStyle w:val="2"/>
        <w:numPr>
          <w:ilvl w:val="0"/>
          <w:numId w:val="0"/>
        </w:numPr>
        <w:ind w:leftChars="0"/>
        <w:jc w:val="both"/>
        <w:rPr>
          <w:rFonts w:hint="eastAsia" w:ascii="仿宋" w:hAnsi="仿宋" w:eastAsia="仿宋" w:cs="仿宋"/>
          <w:color w:val="auto"/>
          <w:szCs w:val="21"/>
          <w:highlight w:val="none"/>
          <w:lang w:val="en-US" w:eastAsia="zh-CN"/>
        </w:rPr>
      </w:pPr>
    </w:p>
    <w:p>
      <w:pPr>
        <w:pStyle w:val="2"/>
        <w:numPr>
          <w:ilvl w:val="0"/>
          <w:numId w:val="0"/>
        </w:numPr>
        <w:ind w:leftChars="0"/>
        <w:jc w:val="both"/>
        <w:rPr>
          <w:rFonts w:hint="eastAsia" w:ascii="仿宋" w:hAnsi="仿宋" w:eastAsia="仿宋" w:cs="仿宋"/>
          <w:color w:val="auto"/>
          <w:szCs w:val="21"/>
          <w:highlight w:val="none"/>
          <w:lang w:val="en-US" w:eastAsia="zh-CN"/>
        </w:rPr>
      </w:pPr>
    </w:p>
    <w:p>
      <w:pPr>
        <w:pStyle w:val="2"/>
        <w:numPr>
          <w:ilvl w:val="0"/>
          <w:numId w:val="0"/>
        </w:numPr>
        <w:ind w:leftChars="0"/>
        <w:jc w:val="both"/>
        <w:rPr>
          <w:rFonts w:hint="eastAsia" w:ascii="仿宋" w:hAnsi="仿宋" w:eastAsia="仿宋" w:cs="仿宋"/>
          <w:color w:val="auto"/>
          <w:szCs w:val="21"/>
          <w:highlight w:val="none"/>
          <w:lang w:val="en-US" w:eastAsia="zh-CN"/>
        </w:rPr>
      </w:pPr>
    </w:p>
    <w:p>
      <w:pPr>
        <w:pStyle w:val="2"/>
        <w:numPr>
          <w:ilvl w:val="0"/>
          <w:numId w:val="0"/>
        </w:numPr>
        <w:ind w:leftChars="0"/>
        <w:jc w:val="both"/>
        <w:rPr>
          <w:rFonts w:hint="eastAsia" w:ascii="仿宋" w:hAnsi="仿宋" w:eastAsia="仿宋" w:cs="仿宋"/>
          <w:color w:val="auto"/>
          <w:szCs w:val="21"/>
          <w:highlight w:val="none"/>
          <w:lang w:val="en-US" w:eastAsia="zh-CN"/>
        </w:rPr>
      </w:pPr>
    </w:p>
    <w:p>
      <w:pPr>
        <w:pStyle w:val="2"/>
        <w:numPr>
          <w:ilvl w:val="0"/>
          <w:numId w:val="0"/>
        </w:numPr>
        <w:ind w:leftChars="0"/>
        <w:jc w:val="both"/>
        <w:rPr>
          <w:rFonts w:hint="eastAsia" w:ascii="仿宋" w:hAnsi="仿宋" w:eastAsia="仿宋" w:cs="仿宋"/>
          <w:color w:val="auto"/>
          <w:szCs w:val="21"/>
          <w:highlight w:val="none"/>
          <w:lang w:val="en-US" w:eastAsia="zh-CN"/>
        </w:rPr>
      </w:pPr>
    </w:p>
    <w:p>
      <w:pPr>
        <w:pStyle w:val="2"/>
        <w:numPr>
          <w:ilvl w:val="0"/>
          <w:numId w:val="0"/>
        </w:numPr>
        <w:ind w:leftChars="0"/>
        <w:jc w:val="both"/>
        <w:rPr>
          <w:rFonts w:hint="eastAsia" w:ascii="仿宋" w:hAnsi="仿宋" w:eastAsia="仿宋" w:cs="仿宋"/>
          <w:color w:val="auto"/>
          <w:szCs w:val="21"/>
          <w:highlight w:val="none"/>
          <w:lang w:val="en-US" w:eastAsia="zh-CN"/>
        </w:rPr>
      </w:pPr>
    </w:p>
    <w:p>
      <w:pPr>
        <w:rPr>
          <w:rFonts w:hint="eastAsia" w:ascii="仿宋" w:hAnsi="仿宋" w:eastAsia="仿宋" w:cs="仿宋"/>
          <w:color w:val="auto"/>
          <w:szCs w:val="21"/>
          <w:highlight w:val="none"/>
          <w:lang w:val="en-US" w:eastAsia="zh-CN"/>
        </w:rPr>
      </w:pPr>
    </w:p>
    <w:p>
      <w:pPr>
        <w:rPr>
          <w:rFonts w:hint="eastAsia" w:ascii="仿宋" w:hAnsi="仿宋" w:eastAsia="仿宋" w:cs="仿宋"/>
          <w:color w:val="auto"/>
          <w:szCs w:val="21"/>
          <w:highlight w:val="none"/>
          <w:lang w:val="en-US" w:eastAsia="zh-CN"/>
        </w:rPr>
      </w:pPr>
    </w:p>
    <w:p>
      <w:pPr>
        <w:pStyle w:val="2"/>
        <w:numPr>
          <w:ilvl w:val="0"/>
          <w:numId w:val="0"/>
        </w:numPr>
        <w:ind w:leftChars="0"/>
        <w:jc w:val="center"/>
        <w:rPr>
          <w:rFonts w:hint="eastAsia" w:ascii="仿宋" w:hAnsi="仿宋" w:eastAsia="仿宋" w:cs="仿宋"/>
          <w:color w:val="auto"/>
          <w:szCs w:val="21"/>
          <w:highlight w:val="none"/>
          <w:lang w:val="en-US" w:eastAsia="zh-CN"/>
        </w:rPr>
      </w:pPr>
    </w:p>
    <w:p>
      <w:pPr>
        <w:pStyle w:val="2"/>
        <w:numPr>
          <w:ilvl w:val="0"/>
          <w:numId w:val="0"/>
        </w:numPr>
        <w:ind w:leftChars="0"/>
        <w:jc w:val="center"/>
        <w:rPr>
          <w:rFonts w:hint="eastAsia" w:ascii="仿宋" w:hAnsi="仿宋" w:eastAsia="仿宋" w:cs="仿宋"/>
          <w:color w:val="auto"/>
          <w:szCs w:val="21"/>
          <w:highlight w:val="none"/>
          <w:lang w:val="en-US" w:eastAsia="zh-CN"/>
        </w:rPr>
      </w:pPr>
    </w:p>
    <w:p>
      <w:pPr>
        <w:pStyle w:val="2"/>
        <w:numPr>
          <w:ilvl w:val="0"/>
          <w:numId w:val="0"/>
        </w:numPr>
        <w:ind w:leftChars="0"/>
        <w:jc w:val="center"/>
        <w:rPr>
          <w:rFonts w:hint="eastAsia" w:ascii="仿宋" w:hAnsi="仿宋" w:eastAsia="仿宋" w:cs="仿宋"/>
          <w:color w:val="auto"/>
          <w:szCs w:val="21"/>
          <w:highlight w:val="none"/>
          <w:lang w:val="en-US" w:eastAsia="zh-CN"/>
        </w:rPr>
      </w:pPr>
    </w:p>
    <w:p>
      <w:pPr>
        <w:pStyle w:val="2"/>
        <w:numPr>
          <w:ilvl w:val="0"/>
          <w:numId w:val="0"/>
        </w:numPr>
        <w:ind w:leftChars="0"/>
        <w:jc w:val="center"/>
        <w:rPr>
          <w:rFonts w:hint="eastAsia" w:ascii="仿宋" w:hAnsi="仿宋" w:eastAsia="仿宋" w:cs="仿宋"/>
          <w:color w:val="auto"/>
          <w:highlight w:val="none"/>
        </w:rPr>
      </w:pPr>
      <w:r>
        <w:rPr>
          <w:rFonts w:hint="eastAsia" w:ascii="仿宋" w:hAnsi="仿宋" w:eastAsia="仿宋" w:cs="仿宋"/>
          <w:color w:val="auto"/>
          <w:szCs w:val="21"/>
          <w:highlight w:val="none"/>
          <w:lang w:val="en-US" w:eastAsia="zh-CN"/>
        </w:rPr>
        <w:t>第</w:t>
      </w:r>
      <w:r>
        <w:rPr>
          <w:rFonts w:hint="eastAsia" w:cs="仿宋"/>
          <w:color w:val="auto"/>
          <w:szCs w:val="21"/>
          <w:highlight w:val="none"/>
          <w:lang w:val="en-US" w:eastAsia="zh-CN"/>
        </w:rPr>
        <w:t>六</w:t>
      </w:r>
      <w:r>
        <w:rPr>
          <w:rFonts w:hint="eastAsia" w:ascii="仿宋" w:hAnsi="仿宋" w:eastAsia="仿宋" w:cs="仿宋"/>
          <w:color w:val="auto"/>
          <w:szCs w:val="21"/>
          <w:highlight w:val="none"/>
          <w:lang w:val="en-US" w:eastAsia="zh-CN"/>
        </w:rPr>
        <w:t xml:space="preserve">章 </w:t>
      </w:r>
      <w:r>
        <w:rPr>
          <w:rFonts w:hint="eastAsia" w:cs="仿宋"/>
          <w:color w:val="auto"/>
          <w:szCs w:val="44"/>
          <w:highlight w:val="none"/>
          <w:lang w:eastAsia="zh-CN"/>
        </w:rPr>
        <w:t>投标文件格式</w:t>
      </w:r>
      <w:bookmarkEnd w:id="71"/>
    </w:p>
    <w:p>
      <w:pPr>
        <w:wordWrap w:val="0"/>
        <w:jc w:val="center"/>
        <w:rPr>
          <w:rFonts w:hint="eastAsia" w:ascii="仿宋" w:hAnsi="仿宋" w:eastAsia="仿宋" w:cs="仿宋"/>
          <w:color w:val="auto"/>
          <w:highlight w:val="none"/>
        </w:rPr>
      </w:pPr>
    </w:p>
    <w:p>
      <w:pPr>
        <w:keepNext w:val="0"/>
        <w:keepLines w:val="0"/>
        <w:widowControl w:val="0"/>
        <w:suppressLineNumbers w:val="0"/>
        <w:autoSpaceDE w:val="0"/>
        <w:autoSpaceDN w:val="0"/>
        <w:adjustRightInd w:val="0"/>
        <w:spacing w:before="0" w:beforeAutospacing="0" w:after="0" w:afterAutospacing="0"/>
        <w:ind w:left="0" w:right="0"/>
        <w:jc w:val="right"/>
        <w:rPr>
          <w:rFonts w:hint="eastAsia" w:ascii="仿宋" w:hAnsi="仿宋" w:eastAsia="仿宋" w:cs="仿宋"/>
          <w:b/>
          <w:bCs w:val="0"/>
          <w:color w:val="auto"/>
          <w:kern w:val="0"/>
          <w:sz w:val="32"/>
          <w:szCs w:val="32"/>
          <w:highlight w:val="none"/>
          <w:bdr w:val="single" w:color="auto" w:sz="4" w:space="0"/>
          <w:lang w:val="en-US" w:eastAsia="zh-CN" w:bidi="ar"/>
        </w:rPr>
      </w:pPr>
    </w:p>
    <w:p>
      <w:pPr>
        <w:keepNext w:val="0"/>
        <w:keepLines w:val="0"/>
        <w:widowControl w:val="0"/>
        <w:suppressLineNumbers w:val="0"/>
        <w:autoSpaceDE w:val="0"/>
        <w:autoSpaceDN w:val="0"/>
        <w:adjustRightInd w:val="0"/>
        <w:spacing w:before="0" w:beforeAutospacing="0" w:after="0" w:afterAutospacing="0"/>
        <w:ind w:left="0" w:right="0"/>
        <w:jc w:val="right"/>
        <w:rPr>
          <w:rFonts w:hint="eastAsia" w:ascii="仿宋" w:hAnsi="仿宋" w:eastAsia="仿宋" w:cs="仿宋"/>
          <w:b/>
          <w:bCs w:val="0"/>
          <w:color w:val="auto"/>
          <w:kern w:val="0"/>
          <w:sz w:val="32"/>
          <w:szCs w:val="32"/>
          <w:highlight w:val="none"/>
          <w:bdr w:val="single" w:color="auto" w:sz="4" w:space="0"/>
          <w:lang w:val="en-US" w:eastAsia="zh-CN" w:bidi="ar"/>
        </w:rPr>
      </w:pPr>
    </w:p>
    <w:p>
      <w:pPr>
        <w:keepNext w:val="0"/>
        <w:keepLines w:val="0"/>
        <w:widowControl w:val="0"/>
        <w:suppressLineNumbers w:val="0"/>
        <w:autoSpaceDE w:val="0"/>
        <w:autoSpaceDN w:val="0"/>
        <w:adjustRightInd w:val="0"/>
        <w:spacing w:before="0" w:beforeAutospacing="0" w:after="0" w:afterAutospacing="0"/>
        <w:ind w:left="0" w:right="0"/>
        <w:jc w:val="right"/>
        <w:rPr>
          <w:rFonts w:hint="eastAsia" w:ascii="仿宋" w:hAnsi="仿宋" w:eastAsia="仿宋" w:cs="仿宋"/>
          <w:b/>
          <w:bCs w:val="0"/>
          <w:color w:val="auto"/>
          <w:kern w:val="0"/>
          <w:sz w:val="32"/>
          <w:szCs w:val="32"/>
          <w:highlight w:val="none"/>
          <w:bdr w:val="single" w:color="auto" w:sz="4" w:space="0"/>
          <w:lang w:val="en-US" w:eastAsia="zh-CN" w:bidi="ar"/>
        </w:rPr>
      </w:pPr>
    </w:p>
    <w:p>
      <w:pPr>
        <w:keepNext w:val="0"/>
        <w:keepLines w:val="0"/>
        <w:widowControl w:val="0"/>
        <w:suppressLineNumbers w:val="0"/>
        <w:autoSpaceDE w:val="0"/>
        <w:autoSpaceDN w:val="0"/>
        <w:adjustRightInd w:val="0"/>
        <w:spacing w:before="0" w:beforeAutospacing="0" w:after="0" w:afterAutospacing="0"/>
        <w:ind w:left="0" w:right="0"/>
        <w:jc w:val="right"/>
        <w:rPr>
          <w:rFonts w:hint="eastAsia" w:ascii="仿宋" w:hAnsi="仿宋" w:eastAsia="仿宋" w:cs="仿宋"/>
          <w:b/>
          <w:bCs w:val="0"/>
          <w:color w:val="auto"/>
          <w:kern w:val="0"/>
          <w:sz w:val="32"/>
          <w:szCs w:val="32"/>
          <w:highlight w:val="none"/>
          <w:bdr w:val="single" w:color="auto" w:sz="4" w:space="0"/>
          <w:lang w:val="en-US" w:eastAsia="zh-CN" w:bidi="ar"/>
        </w:rPr>
      </w:pPr>
    </w:p>
    <w:p>
      <w:pPr>
        <w:keepNext w:val="0"/>
        <w:keepLines w:val="0"/>
        <w:widowControl w:val="0"/>
        <w:suppressLineNumbers w:val="0"/>
        <w:autoSpaceDE w:val="0"/>
        <w:autoSpaceDN w:val="0"/>
        <w:adjustRightInd w:val="0"/>
        <w:spacing w:before="0" w:beforeAutospacing="0" w:after="0" w:afterAutospacing="0"/>
        <w:ind w:left="0" w:right="0"/>
        <w:jc w:val="right"/>
        <w:rPr>
          <w:rFonts w:hint="eastAsia" w:ascii="仿宋" w:hAnsi="仿宋" w:eastAsia="仿宋" w:cs="仿宋"/>
          <w:b/>
          <w:bCs w:val="0"/>
          <w:color w:val="auto"/>
          <w:kern w:val="0"/>
          <w:sz w:val="32"/>
          <w:szCs w:val="32"/>
          <w:highlight w:val="none"/>
          <w:bdr w:val="single" w:color="auto" w:sz="4" w:space="0"/>
          <w:lang w:val="en-US" w:eastAsia="zh-CN" w:bidi="ar"/>
        </w:rPr>
      </w:pPr>
    </w:p>
    <w:p>
      <w:pPr>
        <w:keepNext w:val="0"/>
        <w:keepLines w:val="0"/>
        <w:widowControl w:val="0"/>
        <w:suppressLineNumbers w:val="0"/>
        <w:autoSpaceDE w:val="0"/>
        <w:autoSpaceDN w:val="0"/>
        <w:adjustRightInd w:val="0"/>
        <w:spacing w:before="0" w:beforeAutospacing="0" w:after="0" w:afterAutospacing="0"/>
        <w:ind w:left="0" w:right="0"/>
        <w:jc w:val="right"/>
        <w:rPr>
          <w:rFonts w:hint="eastAsia" w:ascii="仿宋" w:hAnsi="仿宋" w:eastAsia="仿宋" w:cs="仿宋"/>
          <w:b/>
          <w:bCs w:val="0"/>
          <w:color w:val="auto"/>
          <w:kern w:val="0"/>
          <w:sz w:val="32"/>
          <w:szCs w:val="32"/>
          <w:highlight w:val="none"/>
          <w:bdr w:val="single" w:color="auto" w:sz="4" w:space="0"/>
          <w:lang w:val="en-US" w:eastAsia="zh-CN" w:bidi="ar"/>
        </w:rPr>
      </w:pPr>
    </w:p>
    <w:p>
      <w:pPr>
        <w:keepNext w:val="0"/>
        <w:keepLines w:val="0"/>
        <w:widowControl w:val="0"/>
        <w:suppressLineNumbers w:val="0"/>
        <w:autoSpaceDE w:val="0"/>
        <w:autoSpaceDN w:val="0"/>
        <w:adjustRightInd w:val="0"/>
        <w:spacing w:before="0" w:beforeAutospacing="0" w:after="0" w:afterAutospacing="0"/>
        <w:ind w:left="0" w:right="0"/>
        <w:jc w:val="right"/>
        <w:rPr>
          <w:rFonts w:hint="eastAsia" w:ascii="仿宋" w:hAnsi="仿宋" w:eastAsia="仿宋" w:cs="仿宋"/>
          <w:b/>
          <w:bCs w:val="0"/>
          <w:color w:val="auto"/>
          <w:kern w:val="0"/>
          <w:sz w:val="32"/>
          <w:szCs w:val="32"/>
          <w:highlight w:val="none"/>
          <w:bdr w:val="single" w:color="auto" w:sz="4" w:space="0"/>
          <w:lang w:val="en-US" w:eastAsia="zh-CN" w:bidi="ar"/>
        </w:rPr>
      </w:pPr>
    </w:p>
    <w:p>
      <w:pPr>
        <w:keepNext w:val="0"/>
        <w:keepLines w:val="0"/>
        <w:widowControl w:val="0"/>
        <w:suppressLineNumbers w:val="0"/>
        <w:autoSpaceDE w:val="0"/>
        <w:autoSpaceDN w:val="0"/>
        <w:adjustRightInd w:val="0"/>
        <w:spacing w:before="0" w:beforeAutospacing="0" w:after="0" w:afterAutospacing="0"/>
        <w:ind w:left="0" w:right="0"/>
        <w:jc w:val="right"/>
        <w:rPr>
          <w:rFonts w:hint="eastAsia" w:ascii="仿宋" w:hAnsi="仿宋" w:eastAsia="仿宋" w:cs="仿宋"/>
          <w:b/>
          <w:bCs w:val="0"/>
          <w:color w:val="auto"/>
          <w:kern w:val="0"/>
          <w:sz w:val="32"/>
          <w:szCs w:val="32"/>
          <w:highlight w:val="none"/>
          <w:bdr w:val="single" w:color="auto" w:sz="4" w:space="0"/>
          <w:lang w:val="en-US" w:eastAsia="zh-CN" w:bidi="ar"/>
        </w:rPr>
      </w:pPr>
    </w:p>
    <w:p>
      <w:pPr>
        <w:keepNext w:val="0"/>
        <w:keepLines w:val="0"/>
        <w:widowControl w:val="0"/>
        <w:suppressLineNumbers w:val="0"/>
        <w:autoSpaceDE w:val="0"/>
        <w:autoSpaceDN w:val="0"/>
        <w:adjustRightInd w:val="0"/>
        <w:spacing w:before="0" w:beforeAutospacing="0" w:after="0" w:afterAutospacing="0"/>
        <w:ind w:left="0" w:right="0"/>
        <w:jc w:val="right"/>
        <w:rPr>
          <w:rFonts w:hint="eastAsia" w:ascii="仿宋" w:hAnsi="仿宋" w:eastAsia="仿宋" w:cs="仿宋"/>
          <w:b/>
          <w:bCs w:val="0"/>
          <w:color w:val="auto"/>
          <w:kern w:val="0"/>
          <w:sz w:val="32"/>
          <w:szCs w:val="32"/>
          <w:highlight w:val="none"/>
          <w:bdr w:val="single" w:color="auto" w:sz="4" w:space="0"/>
          <w:lang w:val="en-US" w:eastAsia="zh-CN" w:bidi="ar"/>
        </w:rPr>
      </w:pPr>
    </w:p>
    <w:p>
      <w:pPr>
        <w:keepNext w:val="0"/>
        <w:keepLines w:val="0"/>
        <w:widowControl w:val="0"/>
        <w:suppressLineNumbers w:val="0"/>
        <w:autoSpaceDE w:val="0"/>
        <w:autoSpaceDN w:val="0"/>
        <w:adjustRightInd w:val="0"/>
        <w:spacing w:before="0" w:beforeAutospacing="0" w:after="0" w:afterAutospacing="0"/>
        <w:ind w:left="0" w:right="0"/>
        <w:jc w:val="right"/>
        <w:rPr>
          <w:rFonts w:hint="eastAsia" w:ascii="仿宋" w:hAnsi="仿宋" w:eastAsia="仿宋" w:cs="仿宋"/>
          <w:b/>
          <w:bCs w:val="0"/>
          <w:color w:val="auto"/>
          <w:kern w:val="0"/>
          <w:sz w:val="32"/>
          <w:szCs w:val="32"/>
          <w:highlight w:val="none"/>
          <w:bdr w:val="single" w:color="auto" w:sz="4" w:space="0"/>
          <w:lang w:val="en-US" w:eastAsia="zh-CN" w:bidi="ar"/>
        </w:rPr>
      </w:pPr>
    </w:p>
    <w:p>
      <w:pPr>
        <w:keepNext w:val="0"/>
        <w:keepLines w:val="0"/>
        <w:widowControl w:val="0"/>
        <w:suppressLineNumbers w:val="0"/>
        <w:autoSpaceDE w:val="0"/>
        <w:autoSpaceDN w:val="0"/>
        <w:adjustRightInd w:val="0"/>
        <w:spacing w:before="0" w:beforeAutospacing="0" w:after="0" w:afterAutospacing="0"/>
        <w:ind w:left="0" w:right="0"/>
        <w:jc w:val="right"/>
        <w:rPr>
          <w:rFonts w:hint="eastAsia" w:ascii="仿宋" w:hAnsi="仿宋" w:eastAsia="仿宋" w:cs="仿宋"/>
          <w:b/>
          <w:bCs w:val="0"/>
          <w:color w:val="auto"/>
          <w:kern w:val="0"/>
          <w:sz w:val="32"/>
          <w:szCs w:val="32"/>
          <w:highlight w:val="none"/>
          <w:bdr w:val="single" w:color="auto" w:sz="4" w:space="0"/>
          <w:lang w:val="en-US" w:eastAsia="zh-CN" w:bidi="ar"/>
        </w:rPr>
      </w:pPr>
    </w:p>
    <w:p>
      <w:pPr>
        <w:keepNext w:val="0"/>
        <w:keepLines w:val="0"/>
        <w:widowControl w:val="0"/>
        <w:suppressLineNumbers w:val="0"/>
        <w:autoSpaceDE w:val="0"/>
        <w:autoSpaceDN w:val="0"/>
        <w:adjustRightInd w:val="0"/>
        <w:spacing w:before="0" w:beforeAutospacing="0" w:after="0" w:afterAutospacing="0"/>
        <w:ind w:left="0" w:right="0"/>
        <w:jc w:val="right"/>
        <w:rPr>
          <w:rFonts w:hint="eastAsia" w:ascii="仿宋" w:hAnsi="仿宋" w:eastAsia="仿宋" w:cs="仿宋"/>
          <w:b/>
          <w:bCs w:val="0"/>
          <w:color w:val="auto"/>
          <w:kern w:val="0"/>
          <w:sz w:val="32"/>
          <w:szCs w:val="32"/>
          <w:highlight w:val="none"/>
          <w:bdr w:val="single" w:color="auto" w:sz="4" w:space="0"/>
          <w:lang w:val="en-US" w:eastAsia="zh-CN" w:bidi="ar"/>
        </w:rPr>
      </w:pPr>
    </w:p>
    <w:p>
      <w:pPr>
        <w:keepNext w:val="0"/>
        <w:keepLines w:val="0"/>
        <w:widowControl w:val="0"/>
        <w:suppressLineNumbers w:val="0"/>
        <w:autoSpaceDE w:val="0"/>
        <w:autoSpaceDN w:val="0"/>
        <w:adjustRightInd w:val="0"/>
        <w:spacing w:before="0" w:beforeAutospacing="0" w:after="0" w:afterAutospacing="0"/>
        <w:ind w:left="0" w:right="0"/>
        <w:jc w:val="right"/>
        <w:rPr>
          <w:rFonts w:hint="eastAsia" w:ascii="仿宋" w:hAnsi="仿宋" w:eastAsia="仿宋" w:cs="仿宋"/>
          <w:b/>
          <w:bCs w:val="0"/>
          <w:color w:val="auto"/>
          <w:kern w:val="0"/>
          <w:sz w:val="32"/>
          <w:szCs w:val="32"/>
          <w:highlight w:val="none"/>
          <w:bdr w:val="single" w:color="auto" w:sz="4" w:space="0"/>
          <w:lang w:val="en-US" w:eastAsia="zh-CN" w:bidi="ar"/>
        </w:rPr>
      </w:pPr>
    </w:p>
    <w:p>
      <w:pPr>
        <w:keepNext w:val="0"/>
        <w:keepLines w:val="0"/>
        <w:widowControl w:val="0"/>
        <w:suppressLineNumbers w:val="0"/>
        <w:autoSpaceDE w:val="0"/>
        <w:autoSpaceDN w:val="0"/>
        <w:adjustRightInd w:val="0"/>
        <w:spacing w:before="0" w:beforeAutospacing="0" w:after="0" w:afterAutospacing="0"/>
        <w:ind w:left="0" w:right="0"/>
        <w:jc w:val="right"/>
        <w:rPr>
          <w:rFonts w:hint="eastAsia" w:ascii="仿宋" w:hAnsi="仿宋" w:eastAsia="仿宋" w:cs="仿宋"/>
          <w:b/>
          <w:bCs w:val="0"/>
          <w:color w:val="auto"/>
          <w:kern w:val="0"/>
          <w:sz w:val="32"/>
          <w:szCs w:val="32"/>
          <w:highlight w:val="none"/>
          <w:bdr w:val="single" w:color="auto" w:sz="4" w:space="0"/>
          <w:lang w:val="en-US" w:eastAsia="zh-CN" w:bidi="ar"/>
        </w:rPr>
      </w:pPr>
    </w:p>
    <w:p>
      <w:pPr>
        <w:keepNext w:val="0"/>
        <w:keepLines w:val="0"/>
        <w:widowControl w:val="0"/>
        <w:suppressLineNumbers w:val="0"/>
        <w:autoSpaceDE w:val="0"/>
        <w:autoSpaceDN w:val="0"/>
        <w:adjustRightInd w:val="0"/>
        <w:spacing w:before="0" w:beforeAutospacing="0" w:after="0" w:afterAutospacing="0"/>
        <w:ind w:left="0" w:right="0"/>
        <w:jc w:val="right"/>
        <w:rPr>
          <w:rFonts w:hint="eastAsia" w:ascii="仿宋" w:hAnsi="仿宋" w:eastAsia="仿宋" w:cs="仿宋"/>
          <w:b/>
          <w:bCs w:val="0"/>
          <w:color w:val="auto"/>
          <w:kern w:val="0"/>
          <w:sz w:val="32"/>
          <w:szCs w:val="32"/>
          <w:highlight w:val="none"/>
          <w:bdr w:val="single" w:color="auto" w:sz="4" w:space="0"/>
          <w:lang w:val="en-US" w:eastAsia="zh-CN" w:bidi="ar"/>
        </w:rPr>
      </w:pPr>
    </w:p>
    <w:p>
      <w:pPr>
        <w:keepNext w:val="0"/>
        <w:keepLines w:val="0"/>
        <w:widowControl w:val="0"/>
        <w:suppressLineNumbers w:val="0"/>
        <w:autoSpaceDE w:val="0"/>
        <w:autoSpaceDN w:val="0"/>
        <w:adjustRightInd w:val="0"/>
        <w:spacing w:before="0" w:beforeAutospacing="0" w:after="0" w:afterAutospacing="0"/>
        <w:ind w:left="0" w:right="0"/>
        <w:jc w:val="right"/>
        <w:rPr>
          <w:rFonts w:hint="eastAsia" w:ascii="仿宋" w:hAnsi="仿宋" w:eastAsia="仿宋" w:cs="仿宋"/>
          <w:b/>
          <w:bCs w:val="0"/>
          <w:color w:val="auto"/>
          <w:kern w:val="0"/>
          <w:sz w:val="32"/>
          <w:szCs w:val="32"/>
          <w:highlight w:val="none"/>
          <w:bdr w:val="single" w:color="auto" w:sz="4" w:space="0"/>
          <w:lang w:val="en-US" w:eastAsia="zh-CN" w:bidi="ar"/>
        </w:rPr>
      </w:pPr>
    </w:p>
    <w:p>
      <w:pPr>
        <w:keepNext w:val="0"/>
        <w:keepLines w:val="0"/>
        <w:widowControl w:val="0"/>
        <w:suppressLineNumbers w:val="0"/>
        <w:autoSpaceDE w:val="0"/>
        <w:autoSpaceDN w:val="0"/>
        <w:adjustRightInd w:val="0"/>
        <w:spacing w:before="0" w:beforeAutospacing="0" w:after="0" w:afterAutospacing="0"/>
        <w:ind w:left="0" w:right="0"/>
        <w:jc w:val="right"/>
        <w:rPr>
          <w:rFonts w:hint="eastAsia" w:ascii="仿宋" w:hAnsi="仿宋" w:eastAsia="仿宋" w:cs="仿宋"/>
          <w:b/>
          <w:bCs w:val="0"/>
          <w:color w:val="auto"/>
          <w:kern w:val="0"/>
          <w:sz w:val="32"/>
          <w:szCs w:val="32"/>
          <w:highlight w:val="none"/>
          <w:bdr w:val="single" w:color="auto" w:sz="4" w:space="0"/>
          <w:lang w:val="en-US" w:eastAsia="zh-CN" w:bidi="ar"/>
        </w:rPr>
      </w:pPr>
    </w:p>
    <w:p>
      <w:pPr>
        <w:keepNext w:val="0"/>
        <w:keepLines w:val="0"/>
        <w:widowControl w:val="0"/>
        <w:suppressLineNumbers w:val="0"/>
        <w:autoSpaceDE w:val="0"/>
        <w:autoSpaceDN w:val="0"/>
        <w:adjustRightInd w:val="0"/>
        <w:spacing w:before="0" w:beforeAutospacing="0" w:after="0" w:afterAutospacing="0"/>
        <w:ind w:left="0" w:right="0"/>
        <w:jc w:val="right"/>
        <w:rPr>
          <w:rFonts w:hint="eastAsia" w:ascii="仿宋" w:hAnsi="仿宋" w:eastAsia="仿宋" w:cs="仿宋"/>
          <w:b/>
          <w:bCs w:val="0"/>
          <w:color w:val="auto"/>
          <w:kern w:val="0"/>
          <w:sz w:val="32"/>
          <w:szCs w:val="32"/>
          <w:highlight w:val="none"/>
          <w:bdr w:val="single" w:color="auto" w:sz="4" w:space="0"/>
          <w:lang w:val="en-US" w:eastAsia="zh-CN" w:bidi="ar"/>
        </w:rPr>
      </w:pPr>
    </w:p>
    <w:p>
      <w:pPr>
        <w:keepNext w:val="0"/>
        <w:keepLines w:val="0"/>
        <w:widowControl w:val="0"/>
        <w:suppressLineNumbers w:val="0"/>
        <w:autoSpaceDE w:val="0"/>
        <w:autoSpaceDN w:val="0"/>
        <w:adjustRightInd w:val="0"/>
        <w:spacing w:before="0" w:beforeAutospacing="0" w:after="0" w:afterAutospacing="0"/>
        <w:ind w:left="0" w:right="0"/>
        <w:jc w:val="right"/>
        <w:rPr>
          <w:rFonts w:hint="eastAsia" w:ascii="仿宋" w:hAnsi="仿宋" w:eastAsia="仿宋" w:cs="仿宋"/>
          <w:b/>
          <w:bCs w:val="0"/>
          <w:color w:val="auto"/>
          <w:kern w:val="0"/>
          <w:sz w:val="32"/>
          <w:szCs w:val="32"/>
          <w:highlight w:val="none"/>
          <w:lang w:val="en-US"/>
        </w:rPr>
      </w:pPr>
      <w:r>
        <w:rPr>
          <w:rFonts w:hint="eastAsia" w:ascii="仿宋" w:hAnsi="仿宋" w:eastAsia="仿宋" w:cs="仿宋"/>
          <w:b/>
          <w:bCs w:val="0"/>
          <w:color w:val="auto"/>
          <w:kern w:val="0"/>
          <w:sz w:val="32"/>
          <w:szCs w:val="32"/>
          <w:highlight w:val="none"/>
          <w:bdr w:val="single" w:color="auto" w:sz="4" w:space="0"/>
          <w:lang w:val="en-US" w:eastAsia="zh-CN" w:bidi="ar"/>
        </w:rPr>
        <w:t>正本或副本</w:t>
      </w:r>
    </w:p>
    <w:p>
      <w:pPr>
        <w:keepNext w:val="0"/>
        <w:keepLines w:val="0"/>
        <w:widowControl w:val="0"/>
        <w:suppressLineNumbers w:val="0"/>
        <w:autoSpaceDE w:val="0"/>
        <w:autoSpaceDN w:val="0"/>
        <w:adjustRightInd w:val="0"/>
        <w:spacing w:before="0" w:beforeAutospacing="0" w:after="0" w:afterAutospacing="0"/>
        <w:ind w:left="0" w:right="0"/>
        <w:jc w:val="center"/>
        <w:rPr>
          <w:rFonts w:hint="eastAsia" w:ascii="仿宋" w:hAnsi="仿宋" w:eastAsia="仿宋" w:cs="仿宋"/>
          <w:b/>
          <w:bCs w:val="0"/>
          <w:color w:val="auto"/>
          <w:kern w:val="0"/>
          <w:sz w:val="48"/>
          <w:szCs w:val="48"/>
          <w:highlight w:val="none"/>
          <w:lang w:val="en-US"/>
        </w:rPr>
      </w:pPr>
    </w:p>
    <w:p>
      <w:pPr>
        <w:keepNext w:val="0"/>
        <w:keepLines w:val="0"/>
        <w:widowControl w:val="0"/>
        <w:suppressLineNumbers w:val="0"/>
        <w:spacing w:before="0" w:beforeAutospacing="0" w:after="0" w:afterAutospacing="0"/>
        <w:ind w:left="0" w:leftChars="0" w:right="0" w:firstLine="5400" w:firstLineChars="1500"/>
        <w:jc w:val="both"/>
        <w:rPr>
          <w:rFonts w:hint="eastAsia" w:ascii="仿宋" w:hAnsi="仿宋" w:eastAsia="仿宋" w:cs="仿宋"/>
          <w:color w:val="auto"/>
          <w:sz w:val="36"/>
          <w:szCs w:val="36"/>
          <w:highlight w:val="none"/>
          <w:lang w:val="en-US"/>
        </w:rPr>
      </w:pPr>
      <w:r>
        <w:rPr>
          <w:rFonts w:hint="eastAsia" w:ascii="仿宋" w:hAnsi="仿宋" w:eastAsia="仿宋" w:cs="仿宋"/>
          <w:color w:val="auto"/>
          <w:kern w:val="2"/>
          <w:sz w:val="36"/>
          <w:szCs w:val="36"/>
          <w:highlight w:val="none"/>
          <w:lang w:val="en-US" w:eastAsia="zh-CN" w:bidi="ar"/>
        </w:rPr>
        <w:t>（项目名称）</w:t>
      </w:r>
    </w:p>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
          <w:color w:val="auto"/>
          <w:sz w:val="32"/>
          <w:szCs w:val="32"/>
          <w:highlight w:val="none"/>
          <w:lang w:val="en-US"/>
        </w:rPr>
      </w:pPr>
    </w:p>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
          <w:color w:val="auto"/>
          <w:sz w:val="18"/>
          <w:szCs w:val="18"/>
          <w:highlight w:val="none"/>
          <w:lang w:val="en-US"/>
        </w:rPr>
      </w:pPr>
    </w:p>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
          <w:color w:val="auto"/>
          <w:sz w:val="18"/>
          <w:szCs w:val="18"/>
          <w:highlight w:val="none"/>
          <w:lang w:val="en-US"/>
        </w:rPr>
      </w:pPr>
    </w:p>
    <w:p>
      <w:pPr>
        <w:keepNext w:val="0"/>
        <w:keepLines w:val="0"/>
        <w:widowControl w:val="0"/>
        <w:suppressLineNumbers w:val="0"/>
        <w:spacing w:before="0" w:beforeAutospacing="0" w:after="0" w:afterAutospacing="0" w:line="360" w:lineRule="auto"/>
        <w:ind w:left="0" w:leftChars="0" w:right="0" w:firstLine="0" w:firstLineChars="0"/>
        <w:jc w:val="center"/>
        <w:rPr>
          <w:rFonts w:hint="eastAsia" w:ascii="仿宋" w:hAnsi="仿宋" w:eastAsia="仿宋" w:cs="仿宋"/>
          <w:b/>
          <w:color w:val="auto"/>
          <w:sz w:val="84"/>
          <w:szCs w:val="84"/>
          <w:highlight w:val="none"/>
          <w:lang w:val="en-US"/>
        </w:rPr>
      </w:pPr>
      <w:r>
        <w:rPr>
          <w:rFonts w:hint="eastAsia" w:ascii="仿宋" w:hAnsi="仿宋" w:eastAsia="仿宋" w:cs="仿宋"/>
          <w:b/>
          <w:color w:val="auto"/>
          <w:w w:val="80"/>
          <w:sz w:val="84"/>
          <w:szCs w:val="84"/>
          <w:highlight w:val="none"/>
        </w:rPr>
        <w:t>响 应 文 件</w:t>
      </w:r>
    </w:p>
    <w:p>
      <w:pPr>
        <w:keepNext w:val="0"/>
        <w:keepLines w:val="0"/>
        <w:widowControl w:val="0"/>
        <w:suppressLineNumbers w:val="0"/>
        <w:autoSpaceDE w:val="0"/>
        <w:autoSpaceDN w:val="0"/>
        <w:adjustRightInd w:val="0"/>
        <w:spacing w:before="0" w:beforeAutospacing="0" w:after="0" w:afterAutospacing="0"/>
        <w:ind w:left="0" w:leftChars="0" w:right="0" w:firstLine="0" w:firstLineChars="0"/>
        <w:jc w:val="center"/>
        <w:rPr>
          <w:rFonts w:hint="eastAsia" w:ascii="仿宋" w:hAnsi="仿宋" w:eastAsia="仿宋" w:cs="仿宋"/>
          <w:color w:val="auto"/>
          <w:kern w:val="0"/>
          <w:sz w:val="28"/>
          <w:szCs w:val="28"/>
          <w:highlight w:val="none"/>
          <w:u w:val="single"/>
          <w:lang w:val="en-US"/>
        </w:rPr>
      </w:pPr>
      <w:r>
        <w:rPr>
          <w:rFonts w:hint="eastAsia" w:ascii="仿宋" w:hAnsi="仿宋" w:eastAsia="仿宋" w:cs="仿宋"/>
          <w:b/>
          <w:color w:val="auto"/>
          <w:kern w:val="2"/>
          <w:sz w:val="30"/>
          <w:szCs w:val="30"/>
          <w:highlight w:val="none"/>
          <w:lang w:val="en-US" w:eastAsia="zh-CN" w:bidi="ar"/>
        </w:rPr>
        <w:t>项目编号：</w:t>
      </w: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p>
    <w:p>
      <w:pPr>
        <w:keepNext w:val="0"/>
        <w:keepLines w:val="0"/>
        <w:widowControl w:val="0"/>
        <w:suppressLineNumbers w:val="0"/>
        <w:autoSpaceDE w:val="0"/>
        <w:autoSpaceDN w:val="0"/>
        <w:adjustRightInd w:val="0"/>
        <w:spacing w:before="0" w:beforeAutospacing="0" w:after="0" w:afterAutospacing="0"/>
        <w:ind w:left="0" w:leftChars="0" w:right="0" w:firstLine="0" w:firstLineChars="0"/>
        <w:jc w:val="both"/>
        <w:rPr>
          <w:rFonts w:hint="eastAsia" w:ascii="仿宋" w:hAnsi="仿宋" w:eastAsia="仿宋" w:cs="仿宋"/>
          <w:color w:val="auto"/>
          <w:kern w:val="0"/>
          <w:sz w:val="28"/>
          <w:szCs w:val="28"/>
          <w:highlight w:val="none"/>
          <w:u w:val="single"/>
          <w:lang w:val="en-US"/>
        </w:rPr>
      </w:pPr>
      <w:r>
        <w:rPr>
          <w:rFonts w:hint="eastAsia" w:ascii="仿宋" w:hAnsi="仿宋" w:eastAsia="仿宋" w:cs="仿宋"/>
          <w:color w:val="auto"/>
          <w:kern w:val="0"/>
          <w:sz w:val="28"/>
          <w:szCs w:val="28"/>
          <w:highlight w:val="none"/>
          <w:lang w:val="en-US" w:eastAsia="zh-CN" w:bidi="ar"/>
        </w:rPr>
        <w:t>投标人：</w:t>
      </w:r>
      <w:r>
        <w:rPr>
          <w:rFonts w:hint="eastAsia" w:ascii="仿宋" w:hAnsi="仿宋" w:eastAsia="仿宋" w:cs="仿宋"/>
          <w:color w:val="auto"/>
          <w:kern w:val="0"/>
          <w:sz w:val="28"/>
          <w:szCs w:val="28"/>
          <w:highlight w:val="none"/>
          <w:u w:val="single"/>
          <w:lang w:val="en-US" w:eastAsia="zh-CN" w:bidi="ar"/>
        </w:rPr>
        <w:t xml:space="preserve">                            (盖章)</w:t>
      </w:r>
    </w:p>
    <w:p>
      <w:pPr>
        <w:keepNext w:val="0"/>
        <w:keepLines w:val="0"/>
        <w:widowControl w:val="0"/>
        <w:suppressLineNumbers w:val="0"/>
        <w:autoSpaceDE w:val="0"/>
        <w:autoSpaceDN w:val="0"/>
        <w:adjustRightInd w:val="0"/>
        <w:spacing w:before="0" w:beforeAutospacing="0" w:after="0" w:afterAutospacing="0"/>
        <w:ind w:left="0" w:leftChars="0" w:right="0" w:firstLine="0" w:firstLineChars="0"/>
        <w:jc w:val="both"/>
        <w:rPr>
          <w:rFonts w:hint="eastAsia" w:ascii="仿宋" w:hAnsi="仿宋" w:eastAsia="仿宋" w:cs="仿宋"/>
          <w:color w:val="auto"/>
          <w:kern w:val="0"/>
          <w:sz w:val="28"/>
          <w:szCs w:val="28"/>
          <w:highlight w:val="none"/>
          <w:lang w:val="en-US"/>
        </w:rPr>
      </w:pPr>
      <w:r>
        <w:rPr>
          <w:rFonts w:hint="eastAsia" w:ascii="仿宋" w:hAnsi="仿宋" w:eastAsia="仿宋" w:cs="仿宋"/>
          <w:color w:val="auto"/>
          <w:kern w:val="0"/>
          <w:sz w:val="28"/>
          <w:szCs w:val="28"/>
          <w:highlight w:val="none"/>
          <w:lang w:val="en-US" w:eastAsia="zh-CN" w:bidi="ar"/>
        </w:rPr>
        <w:t>法定代表人或</w:t>
      </w:r>
    </w:p>
    <w:p>
      <w:pPr>
        <w:keepNext w:val="0"/>
        <w:keepLines w:val="0"/>
        <w:widowControl w:val="0"/>
        <w:suppressLineNumbers w:val="0"/>
        <w:autoSpaceDE w:val="0"/>
        <w:autoSpaceDN w:val="0"/>
        <w:adjustRightInd w:val="0"/>
        <w:spacing w:before="0" w:beforeAutospacing="0" w:after="0" w:afterAutospacing="0"/>
        <w:ind w:left="0" w:leftChars="0" w:right="0" w:firstLine="0" w:firstLineChars="0"/>
        <w:jc w:val="both"/>
        <w:rPr>
          <w:rFonts w:hint="eastAsia" w:ascii="仿宋" w:hAnsi="仿宋" w:eastAsia="仿宋" w:cs="仿宋"/>
          <w:color w:val="auto"/>
          <w:kern w:val="0"/>
          <w:sz w:val="28"/>
          <w:szCs w:val="28"/>
          <w:highlight w:val="none"/>
          <w:u w:val="single"/>
          <w:lang w:val="en-US"/>
        </w:rPr>
      </w:pPr>
      <w:r>
        <w:rPr>
          <w:rFonts w:hint="eastAsia" w:ascii="仿宋" w:hAnsi="仿宋" w:eastAsia="仿宋" w:cs="仿宋"/>
          <w:color w:val="auto"/>
          <w:kern w:val="0"/>
          <w:sz w:val="28"/>
          <w:szCs w:val="28"/>
          <w:highlight w:val="none"/>
          <w:lang w:val="en-US" w:eastAsia="zh-CN" w:bidi="ar"/>
        </w:rPr>
        <w:t>其委托代理人：</w:t>
      </w:r>
      <w:r>
        <w:rPr>
          <w:rFonts w:hint="eastAsia" w:ascii="仿宋" w:hAnsi="仿宋" w:eastAsia="仿宋" w:cs="仿宋"/>
          <w:color w:val="auto"/>
          <w:kern w:val="0"/>
          <w:sz w:val="28"/>
          <w:szCs w:val="28"/>
          <w:highlight w:val="none"/>
          <w:u w:val="single"/>
          <w:lang w:val="en-US" w:eastAsia="zh-CN" w:bidi="ar"/>
        </w:rPr>
        <w:t xml:space="preserve">                (签字或盖章)</w:t>
      </w:r>
    </w:p>
    <w:p>
      <w:pPr>
        <w:keepNext w:val="0"/>
        <w:keepLines w:val="0"/>
        <w:widowControl w:val="0"/>
        <w:suppressLineNumbers w:val="0"/>
        <w:autoSpaceDE w:val="0"/>
        <w:autoSpaceDN w:val="0"/>
        <w:adjustRightInd w:val="0"/>
        <w:spacing w:before="0" w:beforeAutospacing="0" w:after="0" w:afterAutospacing="0"/>
        <w:ind w:left="0" w:leftChars="0" w:right="0" w:firstLine="0" w:firstLineChars="0"/>
        <w:jc w:val="both"/>
        <w:rPr>
          <w:rFonts w:hint="eastAsia" w:ascii="仿宋" w:hAnsi="仿宋" w:eastAsia="仿宋" w:cs="仿宋"/>
          <w:color w:val="auto"/>
          <w:kern w:val="0"/>
          <w:sz w:val="36"/>
          <w:szCs w:val="36"/>
          <w:highlight w:val="none"/>
          <w:lang w:val="en-US"/>
        </w:rPr>
      </w:pPr>
      <w:r>
        <w:rPr>
          <w:rFonts w:hint="eastAsia" w:ascii="仿宋" w:hAnsi="仿宋" w:eastAsia="仿宋" w:cs="仿宋"/>
          <w:color w:val="auto"/>
          <w:kern w:val="0"/>
          <w:sz w:val="28"/>
          <w:szCs w:val="28"/>
          <w:highlight w:val="none"/>
          <w:lang w:val="en-US" w:eastAsia="zh-CN" w:bidi="ar"/>
        </w:rPr>
        <w:t>日期：</w:t>
      </w:r>
      <w:r>
        <w:rPr>
          <w:rFonts w:hint="eastAsia" w:ascii="仿宋" w:hAnsi="仿宋" w:eastAsia="仿宋" w:cs="仿宋"/>
          <w:color w:val="auto"/>
          <w:kern w:val="0"/>
          <w:sz w:val="28"/>
          <w:szCs w:val="28"/>
          <w:highlight w:val="none"/>
          <w:u w:val="single"/>
          <w:lang w:val="en-US" w:eastAsia="zh-CN" w:bidi="ar"/>
        </w:rPr>
        <w:t xml:space="preserve">      年    月    日</w:t>
      </w: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p>
    <w:p>
      <w:pPr>
        <w:tabs>
          <w:tab w:val="left" w:pos="1365"/>
        </w:tabs>
        <w:wordWrap w:val="0"/>
        <w:spacing w:line="360" w:lineRule="auto"/>
        <w:jc w:val="center"/>
        <w:rPr>
          <w:rFonts w:hint="eastAsia" w:ascii="仿宋" w:hAnsi="仿宋" w:eastAsia="仿宋" w:cs="仿宋"/>
          <w:b/>
          <w:color w:val="auto"/>
          <w:sz w:val="36"/>
          <w:szCs w:val="36"/>
          <w:highlight w:val="none"/>
        </w:rPr>
      </w:pPr>
    </w:p>
    <w:p>
      <w:pPr>
        <w:bidi w:val="0"/>
        <w:jc w:val="center"/>
        <w:rPr>
          <w:rFonts w:hint="eastAsia" w:ascii="仿宋" w:hAnsi="仿宋" w:eastAsia="仿宋" w:cs="仿宋"/>
          <w:color w:val="auto"/>
          <w:highlight w:val="none"/>
          <w:lang w:eastAsia="zh-CN"/>
        </w:rPr>
      </w:pPr>
      <w:r>
        <w:rPr>
          <w:rFonts w:hint="eastAsia" w:ascii="仿宋" w:hAnsi="仿宋" w:eastAsia="仿宋" w:cs="仿宋"/>
          <w:b/>
          <w:color w:val="auto"/>
          <w:szCs w:val="36"/>
          <w:highlight w:val="none"/>
        </w:rPr>
        <w:br w:type="page"/>
      </w:r>
      <w:r>
        <w:rPr>
          <w:rFonts w:hint="eastAsia" w:ascii="仿宋" w:hAnsi="仿宋" w:eastAsia="仿宋" w:cs="仿宋"/>
          <w:color w:val="auto"/>
          <w:highlight w:val="none"/>
          <w:lang w:eastAsia="zh-CN"/>
        </w:rPr>
        <w:t>目   录</w:t>
      </w:r>
    </w:p>
    <w:p>
      <w:pPr>
        <w:pStyle w:val="9"/>
        <w:jc w:val="center"/>
        <w:rPr>
          <w:rFonts w:hint="eastAsia" w:ascii="仿宋" w:hAnsi="仿宋" w:eastAsia="仿宋" w:cs="仿宋"/>
          <w:color w:val="auto"/>
          <w:highlight w:val="none"/>
          <w:lang w:eastAsia="zh-CN"/>
        </w:rPr>
      </w:pPr>
      <w:r>
        <w:rPr>
          <w:rFonts w:hint="eastAsia" w:cs="仿宋"/>
          <w:color w:val="auto"/>
          <w:highlight w:val="none"/>
          <w:lang w:eastAsia="zh-CN"/>
        </w:rPr>
        <w:t>（</w:t>
      </w:r>
      <w:r>
        <w:rPr>
          <w:rFonts w:hint="eastAsia" w:cs="仿宋"/>
          <w:color w:val="auto"/>
          <w:highlight w:val="none"/>
          <w:lang w:val="en-US" w:eastAsia="zh-CN"/>
        </w:rPr>
        <w:t>需自拟详细页码</w:t>
      </w:r>
      <w:r>
        <w:rPr>
          <w:rFonts w:hint="eastAsia" w:cs="仿宋"/>
          <w:color w:val="auto"/>
          <w:highlight w:val="none"/>
          <w:lang w:eastAsia="zh-CN"/>
        </w:rPr>
        <w:t>）</w:t>
      </w:r>
    </w:p>
    <w:p>
      <w:pPr>
        <w:bidi w:val="0"/>
        <w:rPr>
          <w:rFonts w:hint="eastAsia" w:ascii="仿宋" w:hAnsi="仿宋" w:eastAsia="仿宋" w:cs="仿宋"/>
          <w:b/>
          <w:color w:val="auto"/>
          <w:sz w:val="32"/>
          <w:szCs w:val="30"/>
          <w:highlight w:val="none"/>
          <w:lang w:val="en-US" w:eastAsia="zh-CN"/>
        </w:rPr>
      </w:pPr>
      <w:bookmarkStart w:id="72" w:name="_Toc17046640"/>
      <w:bookmarkStart w:id="73" w:name="_Toc144974857"/>
      <w:bookmarkStart w:id="74" w:name="_Toc500439923"/>
      <w:bookmarkStart w:id="75" w:name="_Toc300835210"/>
      <w:bookmarkStart w:id="76" w:name="_Toc152045788"/>
      <w:bookmarkStart w:id="77" w:name="_Toc508372382"/>
      <w:bookmarkStart w:id="78" w:name="_Toc152042577"/>
      <w:bookmarkStart w:id="79" w:name="_Toc425260054"/>
      <w:bookmarkStart w:id="80" w:name="_Toc509413340"/>
      <w:bookmarkStart w:id="81" w:name="_Toc499397513"/>
      <w:bookmarkStart w:id="82" w:name="_Toc508201975"/>
      <w:bookmarkStart w:id="83" w:name="_Toc247514247"/>
      <w:bookmarkStart w:id="84" w:name="_Toc247527828"/>
    </w:p>
    <w:p>
      <w:pPr>
        <w:bidi w:val="0"/>
        <w:rPr>
          <w:rFonts w:hint="eastAsia" w:ascii="仿宋" w:hAnsi="仿宋" w:eastAsia="仿宋" w:cs="仿宋"/>
          <w:b/>
          <w:color w:val="auto"/>
          <w:sz w:val="32"/>
          <w:szCs w:val="30"/>
          <w:highlight w:val="none"/>
          <w:lang w:val="en-US" w:eastAsia="zh-CN"/>
        </w:rPr>
      </w:pPr>
    </w:p>
    <w:p>
      <w:pPr>
        <w:bidi w:val="0"/>
        <w:rPr>
          <w:rFonts w:hint="eastAsia" w:ascii="仿宋" w:hAnsi="仿宋" w:eastAsia="仿宋" w:cs="仿宋"/>
          <w:b/>
          <w:color w:val="auto"/>
          <w:sz w:val="32"/>
          <w:szCs w:val="30"/>
          <w:highlight w:val="none"/>
          <w:lang w:val="en-US" w:eastAsia="zh-CN"/>
        </w:rPr>
      </w:pPr>
    </w:p>
    <w:p>
      <w:pPr>
        <w:bidi w:val="0"/>
        <w:rPr>
          <w:rFonts w:hint="eastAsia" w:ascii="仿宋" w:hAnsi="仿宋" w:eastAsia="仿宋" w:cs="仿宋"/>
          <w:b/>
          <w:color w:val="auto"/>
          <w:sz w:val="32"/>
          <w:szCs w:val="30"/>
          <w:highlight w:val="none"/>
          <w:lang w:val="en-US" w:eastAsia="zh-CN"/>
        </w:rPr>
      </w:pPr>
    </w:p>
    <w:p>
      <w:pPr>
        <w:bidi w:val="0"/>
        <w:rPr>
          <w:rFonts w:hint="eastAsia" w:ascii="仿宋" w:hAnsi="仿宋" w:eastAsia="仿宋" w:cs="仿宋"/>
          <w:b/>
          <w:color w:val="auto"/>
          <w:sz w:val="32"/>
          <w:szCs w:val="30"/>
          <w:highlight w:val="none"/>
          <w:lang w:val="en-US" w:eastAsia="zh-CN"/>
        </w:rPr>
      </w:pPr>
    </w:p>
    <w:p>
      <w:pPr>
        <w:bidi w:val="0"/>
        <w:rPr>
          <w:rFonts w:hint="eastAsia" w:ascii="仿宋" w:hAnsi="仿宋" w:eastAsia="仿宋" w:cs="仿宋"/>
          <w:b/>
          <w:color w:val="auto"/>
          <w:sz w:val="32"/>
          <w:szCs w:val="30"/>
          <w:highlight w:val="none"/>
          <w:lang w:val="en-US" w:eastAsia="zh-CN"/>
        </w:rPr>
      </w:pPr>
    </w:p>
    <w:p>
      <w:pPr>
        <w:bidi w:val="0"/>
        <w:rPr>
          <w:rFonts w:hint="eastAsia" w:ascii="仿宋" w:hAnsi="仿宋" w:eastAsia="仿宋" w:cs="仿宋"/>
          <w:b/>
          <w:color w:val="auto"/>
          <w:sz w:val="32"/>
          <w:szCs w:val="30"/>
          <w:highlight w:val="none"/>
          <w:lang w:val="en-US" w:eastAsia="zh-CN"/>
        </w:rPr>
      </w:pPr>
    </w:p>
    <w:p>
      <w:pPr>
        <w:bidi w:val="0"/>
        <w:rPr>
          <w:rFonts w:hint="eastAsia" w:ascii="仿宋" w:hAnsi="仿宋" w:eastAsia="仿宋" w:cs="仿宋"/>
          <w:b/>
          <w:color w:val="auto"/>
          <w:sz w:val="32"/>
          <w:szCs w:val="30"/>
          <w:highlight w:val="none"/>
          <w:lang w:val="en-US" w:eastAsia="zh-CN"/>
        </w:rPr>
      </w:pPr>
    </w:p>
    <w:p>
      <w:pPr>
        <w:bidi w:val="0"/>
        <w:rPr>
          <w:rFonts w:hint="eastAsia" w:ascii="仿宋" w:hAnsi="仿宋" w:eastAsia="仿宋" w:cs="仿宋"/>
          <w:b/>
          <w:color w:val="auto"/>
          <w:sz w:val="32"/>
          <w:szCs w:val="30"/>
          <w:highlight w:val="none"/>
          <w:lang w:val="en-US" w:eastAsia="zh-CN"/>
        </w:rPr>
      </w:pPr>
    </w:p>
    <w:p>
      <w:pPr>
        <w:bidi w:val="0"/>
        <w:rPr>
          <w:rFonts w:hint="eastAsia" w:ascii="仿宋" w:hAnsi="仿宋" w:eastAsia="仿宋" w:cs="仿宋"/>
          <w:b/>
          <w:color w:val="auto"/>
          <w:sz w:val="32"/>
          <w:szCs w:val="30"/>
          <w:highlight w:val="none"/>
          <w:lang w:val="en-US" w:eastAsia="zh-CN"/>
        </w:rPr>
      </w:pPr>
    </w:p>
    <w:p>
      <w:pPr>
        <w:bidi w:val="0"/>
        <w:rPr>
          <w:rFonts w:hint="eastAsia" w:ascii="仿宋" w:hAnsi="仿宋" w:eastAsia="仿宋" w:cs="仿宋"/>
          <w:b/>
          <w:color w:val="auto"/>
          <w:sz w:val="32"/>
          <w:szCs w:val="30"/>
          <w:highlight w:val="none"/>
          <w:lang w:val="en-US" w:eastAsia="zh-CN"/>
        </w:rPr>
      </w:pPr>
    </w:p>
    <w:p>
      <w:pPr>
        <w:bidi w:val="0"/>
        <w:rPr>
          <w:rFonts w:hint="eastAsia" w:ascii="仿宋" w:hAnsi="仿宋" w:eastAsia="仿宋" w:cs="仿宋"/>
          <w:b/>
          <w:color w:val="auto"/>
          <w:sz w:val="32"/>
          <w:szCs w:val="30"/>
          <w:highlight w:val="none"/>
          <w:lang w:val="en-US" w:eastAsia="zh-CN"/>
        </w:rPr>
      </w:pPr>
    </w:p>
    <w:p>
      <w:pPr>
        <w:bidi w:val="0"/>
        <w:rPr>
          <w:rFonts w:hint="eastAsia" w:ascii="仿宋" w:hAnsi="仿宋" w:eastAsia="仿宋" w:cs="仿宋"/>
          <w:b/>
          <w:color w:val="auto"/>
          <w:sz w:val="32"/>
          <w:szCs w:val="30"/>
          <w:highlight w:val="none"/>
          <w:lang w:val="en-US" w:eastAsia="zh-CN"/>
        </w:rPr>
      </w:pPr>
    </w:p>
    <w:p>
      <w:pPr>
        <w:bidi w:val="0"/>
        <w:rPr>
          <w:rFonts w:hint="eastAsia" w:ascii="仿宋" w:hAnsi="仿宋" w:eastAsia="仿宋" w:cs="仿宋"/>
          <w:b/>
          <w:color w:val="auto"/>
          <w:sz w:val="32"/>
          <w:szCs w:val="30"/>
          <w:highlight w:val="none"/>
          <w:lang w:val="en-US" w:eastAsia="zh-CN"/>
        </w:rPr>
      </w:pPr>
    </w:p>
    <w:p>
      <w:pPr>
        <w:bidi w:val="0"/>
        <w:rPr>
          <w:rFonts w:hint="eastAsia" w:ascii="仿宋" w:hAnsi="仿宋" w:eastAsia="仿宋" w:cs="仿宋"/>
          <w:b/>
          <w:color w:val="auto"/>
          <w:sz w:val="32"/>
          <w:szCs w:val="30"/>
          <w:highlight w:val="none"/>
          <w:lang w:val="en-US" w:eastAsia="zh-CN"/>
        </w:rPr>
      </w:pPr>
    </w:p>
    <w:p>
      <w:pPr>
        <w:bidi w:val="0"/>
        <w:rPr>
          <w:rFonts w:hint="eastAsia" w:ascii="仿宋" w:hAnsi="仿宋" w:eastAsia="仿宋" w:cs="仿宋"/>
          <w:b/>
          <w:color w:val="auto"/>
          <w:sz w:val="32"/>
          <w:szCs w:val="30"/>
          <w:highlight w:val="none"/>
          <w:lang w:val="en-US" w:eastAsia="zh-CN"/>
        </w:rPr>
      </w:pPr>
    </w:p>
    <w:p>
      <w:pPr>
        <w:bidi w:val="0"/>
        <w:rPr>
          <w:rFonts w:hint="eastAsia" w:ascii="仿宋" w:hAnsi="仿宋" w:eastAsia="仿宋" w:cs="仿宋"/>
          <w:b/>
          <w:color w:val="auto"/>
          <w:sz w:val="32"/>
          <w:szCs w:val="30"/>
          <w:highlight w:val="none"/>
          <w:lang w:val="en-US" w:eastAsia="zh-CN"/>
        </w:rPr>
      </w:pPr>
    </w:p>
    <w:p>
      <w:pPr>
        <w:bidi w:val="0"/>
        <w:rPr>
          <w:rFonts w:hint="eastAsia" w:ascii="仿宋" w:hAnsi="仿宋" w:eastAsia="仿宋" w:cs="仿宋"/>
          <w:b/>
          <w:color w:val="auto"/>
          <w:sz w:val="32"/>
          <w:szCs w:val="30"/>
          <w:highlight w:val="none"/>
          <w:lang w:val="en-US" w:eastAsia="zh-CN"/>
        </w:rPr>
      </w:pPr>
    </w:p>
    <w:p>
      <w:pPr>
        <w:bidi w:val="0"/>
        <w:rPr>
          <w:rFonts w:hint="eastAsia" w:ascii="仿宋" w:hAnsi="仿宋" w:eastAsia="仿宋" w:cs="仿宋"/>
          <w:b/>
          <w:color w:val="auto"/>
          <w:sz w:val="32"/>
          <w:szCs w:val="30"/>
          <w:highlight w:val="none"/>
          <w:lang w:val="en-US" w:eastAsia="zh-CN"/>
        </w:rPr>
      </w:pPr>
    </w:p>
    <w:p>
      <w:pPr>
        <w:bidi w:val="0"/>
        <w:rPr>
          <w:rFonts w:hint="eastAsia" w:ascii="仿宋" w:hAnsi="仿宋" w:eastAsia="仿宋" w:cs="仿宋"/>
          <w:b/>
          <w:color w:val="auto"/>
          <w:sz w:val="32"/>
          <w:szCs w:val="30"/>
          <w:highlight w:val="none"/>
          <w:lang w:val="en-US" w:eastAsia="zh-CN"/>
        </w:rPr>
      </w:pPr>
    </w:p>
    <w:p>
      <w:pPr>
        <w:bidi w:val="0"/>
        <w:jc w:val="center"/>
        <w:rPr>
          <w:rFonts w:hint="eastAsia" w:ascii="仿宋" w:hAnsi="仿宋" w:eastAsia="仿宋" w:cs="仿宋"/>
          <w:b/>
          <w:color w:val="auto"/>
          <w:sz w:val="32"/>
          <w:szCs w:val="30"/>
          <w:highlight w:val="none"/>
          <w:lang w:val="en-US" w:eastAsia="zh-CN"/>
        </w:rPr>
      </w:pPr>
    </w:p>
    <w:p>
      <w:pPr>
        <w:bidi w:val="0"/>
        <w:jc w:val="center"/>
        <w:rPr>
          <w:rFonts w:hint="eastAsia" w:ascii="仿宋" w:hAnsi="仿宋" w:eastAsia="仿宋" w:cs="仿宋"/>
          <w:b/>
          <w:color w:val="auto"/>
          <w:sz w:val="32"/>
          <w:szCs w:val="30"/>
          <w:highlight w:val="none"/>
        </w:rPr>
      </w:pPr>
      <w:r>
        <w:rPr>
          <w:rFonts w:hint="eastAsia" w:ascii="仿宋" w:hAnsi="仿宋" w:eastAsia="仿宋" w:cs="仿宋"/>
          <w:b/>
          <w:color w:val="auto"/>
          <w:sz w:val="32"/>
          <w:szCs w:val="30"/>
          <w:highlight w:val="none"/>
          <w:lang w:val="en-US" w:eastAsia="zh-CN"/>
        </w:rPr>
        <w:t>一、</w:t>
      </w:r>
      <w:r>
        <w:rPr>
          <w:rFonts w:hint="eastAsia" w:ascii="仿宋" w:hAnsi="仿宋" w:eastAsia="仿宋" w:cs="仿宋"/>
          <w:b/>
          <w:color w:val="auto"/>
          <w:sz w:val="32"/>
          <w:szCs w:val="30"/>
          <w:highlight w:val="none"/>
        </w:rPr>
        <w:t>投标函及投标函附录</w:t>
      </w:r>
      <w:bookmarkEnd w:id="72"/>
      <w:bookmarkEnd w:id="73"/>
      <w:bookmarkEnd w:id="74"/>
      <w:bookmarkEnd w:id="75"/>
      <w:bookmarkEnd w:id="76"/>
      <w:bookmarkEnd w:id="77"/>
      <w:bookmarkEnd w:id="78"/>
      <w:bookmarkEnd w:id="79"/>
      <w:bookmarkEnd w:id="80"/>
      <w:bookmarkEnd w:id="81"/>
      <w:bookmarkEnd w:id="82"/>
      <w:bookmarkEnd w:id="83"/>
      <w:bookmarkEnd w:id="84"/>
    </w:p>
    <w:p>
      <w:pPr>
        <w:pStyle w:val="4"/>
        <w:spacing w:before="0" w:after="0" w:line="360" w:lineRule="auto"/>
        <w:jc w:val="center"/>
        <w:rPr>
          <w:rFonts w:hint="eastAsia" w:ascii="仿宋" w:hAnsi="仿宋" w:eastAsia="仿宋" w:cs="仿宋"/>
          <w:color w:val="auto"/>
          <w:sz w:val="28"/>
          <w:szCs w:val="28"/>
          <w:highlight w:val="none"/>
        </w:rPr>
      </w:pPr>
      <w:bookmarkStart w:id="85" w:name="_Toc509413341"/>
      <w:bookmarkStart w:id="86" w:name="_Toc247527829"/>
      <w:bookmarkStart w:id="87" w:name="_Toc144974858"/>
      <w:bookmarkStart w:id="88" w:name="_Toc152045789"/>
      <w:bookmarkStart w:id="89" w:name="_Toc300835211"/>
      <w:bookmarkStart w:id="90" w:name="_Toc499397514"/>
      <w:bookmarkStart w:id="91" w:name="_Toc247514248"/>
      <w:bookmarkStart w:id="92" w:name="_Toc425260055"/>
      <w:bookmarkStart w:id="93" w:name="_Toc17046641"/>
      <w:bookmarkStart w:id="94" w:name="_Toc508201976"/>
      <w:bookmarkStart w:id="95" w:name="_Toc508372383"/>
      <w:bookmarkStart w:id="96" w:name="_Toc500439924"/>
      <w:bookmarkStart w:id="97" w:name="_Toc152042578"/>
      <w:r>
        <w:rPr>
          <w:rFonts w:hint="eastAsia" w:ascii="仿宋" w:hAnsi="仿宋" w:eastAsia="仿宋" w:cs="仿宋"/>
          <w:color w:val="auto"/>
          <w:sz w:val="28"/>
          <w:szCs w:val="28"/>
          <w:highlight w:val="none"/>
        </w:rPr>
        <w:t>（一）投标函</w:t>
      </w:r>
      <w:bookmarkEnd w:id="85"/>
      <w:bookmarkEnd w:id="86"/>
      <w:bookmarkEnd w:id="87"/>
      <w:bookmarkEnd w:id="88"/>
      <w:bookmarkEnd w:id="89"/>
      <w:bookmarkEnd w:id="90"/>
      <w:bookmarkEnd w:id="91"/>
      <w:bookmarkEnd w:id="92"/>
      <w:bookmarkEnd w:id="93"/>
      <w:bookmarkEnd w:id="94"/>
      <w:bookmarkEnd w:id="95"/>
      <w:bookmarkEnd w:id="96"/>
      <w:bookmarkEnd w:id="97"/>
    </w:p>
    <w:p>
      <w:pPr>
        <w:autoSpaceDE w:val="0"/>
        <w:autoSpaceDN w:val="0"/>
        <w:spacing w:line="360" w:lineRule="auto"/>
        <w:rPr>
          <w:rFonts w:hint="eastAsia" w:ascii="仿宋" w:hAnsi="仿宋" w:eastAsia="仿宋" w:cs="仿宋"/>
          <w:color w:val="auto"/>
          <w:kern w:val="0"/>
          <w:sz w:val="24"/>
          <w:szCs w:val="24"/>
          <w:highlight w:val="none"/>
          <w:u w:val="single"/>
          <w:lang w:val="zh-CN"/>
        </w:rPr>
      </w:pPr>
      <w:r>
        <w:rPr>
          <w:rFonts w:hint="eastAsia" w:cs="仿宋"/>
          <w:color w:val="auto"/>
          <w:kern w:val="0"/>
          <w:sz w:val="24"/>
          <w:szCs w:val="24"/>
          <w:highlight w:val="none"/>
          <w:lang w:val="zh-CN"/>
        </w:rPr>
        <w:t>中屹宬信建设集团有限公司</w:t>
      </w:r>
      <w:r>
        <w:rPr>
          <w:rFonts w:hint="eastAsia" w:ascii="仿宋" w:hAnsi="仿宋" w:eastAsia="仿宋" w:cs="仿宋"/>
          <w:color w:val="auto"/>
          <w:kern w:val="0"/>
          <w:sz w:val="24"/>
          <w:szCs w:val="24"/>
          <w:highlight w:val="none"/>
          <w:lang w:val="zh-CN"/>
        </w:rPr>
        <w:t>：</w:t>
      </w:r>
    </w:p>
    <w:p>
      <w:pPr>
        <w:autoSpaceDE w:val="0"/>
        <w:autoSpaceDN w:val="0"/>
        <w:spacing w:line="360" w:lineRule="auto"/>
        <w:ind w:firstLine="48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根据你方采购</w:t>
      </w:r>
      <w:r>
        <w:rPr>
          <w:rFonts w:hint="eastAsia" w:ascii="仿宋" w:hAnsi="仿宋" w:eastAsia="仿宋" w:cs="仿宋"/>
          <w:color w:val="auto"/>
          <w:sz w:val="24"/>
          <w:szCs w:val="24"/>
          <w:highlight w:val="none"/>
          <w:u w:val="single"/>
          <w:lang w:val="zh-CN"/>
        </w:rPr>
        <w:t>（项目名称）</w:t>
      </w:r>
      <w:r>
        <w:rPr>
          <w:rFonts w:hint="eastAsia" w:ascii="仿宋" w:hAnsi="仿宋" w:eastAsia="仿宋" w:cs="仿宋"/>
          <w:color w:val="auto"/>
          <w:sz w:val="24"/>
          <w:szCs w:val="24"/>
          <w:highlight w:val="none"/>
          <w:lang w:val="zh-CN"/>
        </w:rPr>
        <w:t>项目包的编号为</w:t>
      </w:r>
      <w:r>
        <w:rPr>
          <w:rFonts w:hint="eastAsia" w:ascii="仿宋" w:hAnsi="仿宋" w:eastAsia="仿宋" w:cs="仿宋"/>
          <w:color w:val="auto"/>
          <w:sz w:val="24"/>
          <w:szCs w:val="24"/>
          <w:highlight w:val="none"/>
          <w:u w:val="single"/>
          <w:lang w:val="zh-CN"/>
        </w:rPr>
        <w:t xml:space="preserve">     -     </w:t>
      </w:r>
      <w:r>
        <w:rPr>
          <w:rFonts w:hint="eastAsia" w:ascii="仿宋" w:hAnsi="仿宋" w:eastAsia="仿宋" w:cs="仿宋"/>
          <w:color w:val="auto"/>
          <w:sz w:val="24"/>
          <w:szCs w:val="24"/>
          <w:highlight w:val="none"/>
          <w:lang w:val="zh-CN"/>
        </w:rPr>
        <w:t>招标文件，我方正式授权的下述签字人</w:t>
      </w:r>
      <w:r>
        <w:rPr>
          <w:rFonts w:hint="eastAsia" w:ascii="仿宋" w:hAnsi="仿宋" w:eastAsia="仿宋" w:cs="仿宋"/>
          <w:color w:val="auto"/>
          <w:sz w:val="24"/>
          <w:szCs w:val="24"/>
          <w:highlight w:val="none"/>
          <w:u w:val="single"/>
          <w:lang w:val="zh-CN"/>
        </w:rPr>
        <w:t>（姓名和职务）</w:t>
      </w:r>
      <w:r>
        <w:rPr>
          <w:rFonts w:hint="eastAsia" w:ascii="仿宋" w:hAnsi="仿宋" w:eastAsia="仿宋" w:cs="仿宋"/>
          <w:color w:val="auto"/>
          <w:sz w:val="24"/>
          <w:szCs w:val="24"/>
          <w:highlight w:val="none"/>
          <w:lang w:val="zh-CN"/>
        </w:rPr>
        <w:t>代表我方</w:t>
      </w:r>
      <w:r>
        <w:rPr>
          <w:rFonts w:hint="eastAsia" w:ascii="仿宋" w:hAnsi="仿宋" w:eastAsia="仿宋" w:cs="仿宋"/>
          <w:color w:val="auto"/>
          <w:sz w:val="24"/>
          <w:szCs w:val="24"/>
          <w:highlight w:val="none"/>
          <w:u w:val="single"/>
          <w:lang w:val="zh-CN"/>
        </w:rPr>
        <w:t>（投标人的名称）</w:t>
      </w:r>
      <w:r>
        <w:rPr>
          <w:rFonts w:hint="eastAsia" w:ascii="仿宋" w:hAnsi="仿宋" w:eastAsia="仿宋" w:cs="仿宋"/>
          <w:color w:val="auto"/>
          <w:sz w:val="24"/>
          <w:szCs w:val="24"/>
          <w:highlight w:val="none"/>
          <w:lang w:val="zh-CN"/>
        </w:rPr>
        <w:t>，按照你方招标文件的规定，提交《投标人须知》</w:t>
      </w:r>
      <w:r>
        <w:rPr>
          <w:rFonts w:hint="eastAsia" w:ascii="仿宋" w:hAnsi="仿宋" w:eastAsia="仿宋" w:cs="仿宋"/>
          <w:b/>
          <w:bCs/>
          <w:color w:val="auto"/>
          <w:sz w:val="24"/>
          <w:szCs w:val="24"/>
          <w:highlight w:val="none"/>
          <w:lang w:val="zh-CN"/>
        </w:rPr>
        <w:t>第8条</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投标文件构成</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要求的全部文件</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zh-CN"/>
        </w:rPr>
        <w:t>并保证所提供的全部文件是真实的、有效的和准确的。</w:t>
      </w:r>
    </w:p>
    <w:p>
      <w:pPr>
        <w:autoSpaceDE w:val="0"/>
        <w:autoSpaceDN w:val="0"/>
        <w:spacing w:line="360" w:lineRule="auto"/>
        <w:ind w:firstLine="48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据此函，签字人兹宣布同意如下：</w:t>
      </w:r>
    </w:p>
    <w:p>
      <w:pPr>
        <w:tabs>
          <w:tab w:val="left" w:pos="8175"/>
        </w:tabs>
        <w:autoSpaceDE w:val="0"/>
        <w:autoSpaceDN w:val="0"/>
        <w:spacing w:line="360" w:lineRule="auto"/>
        <w:ind w:firstLine="480" w:firstLineChars="200"/>
        <w:rPr>
          <w:rFonts w:hint="eastAsia" w:ascii="仿宋" w:hAnsi="仿宋" w:eastAsia="仿宋" w:cs="仿宋"/>
          <w:color w:val="auto"/>
          <w:sz w:val="24"/>
          <w:szCs w:val="24"/>
          <w:highlight w:val="none"/>
          <w:u w:val="single"/>
          <w:lang w:val="zh-CN"/>
        </w:rPr>
      </w:pPr>
      <w:r>
        <w:rPr>
          <w:rFonts w:hint="eastAsia" w:ascii="仿宋" w:hAnsi="仿宋" w:eastAsia="仿宋" w:cs="仿宋"/>
          <w:color w:val="auto"/>
          <w:sz w:val="24"/>
          <w:szCs w:val="24"/>
          <w:highlight w:val="none"/>
          <w:lang w:val="zh-CN"/>
        </w:rPr>
        <w:t>1.按招标文件规定提供采购</w:t>
      </w:r>
      <w:r>
        <w:rPr>
          <w:rFonts w:hint="eastAsia" w:cs="仿宋"/>
          <w:color w:val="auto"/>
          <w:sz w:val="24"/>
          <w:szCs w:val="24"/>
          <w:highlight w:val="none"/>
          <w:lang w:val="en-US" w:eastAsia="zh-CN"/>
        </w:rPr>
        <w:t>服务</w:t>
      </w:r>
      <w:r>
        <w:rPr>
          <w:rFonts w:hint="eastAsia" w:ascii="仿宋" w:hAnsi="仿宋" w:eastAsia="仿宋" w:cs="仿宋"/>
          <w:color w:val="auto"/>
          <w:sz w:val="24"/>
          <w:szCs w:val="24"/>
          <w:highlight w:val="none"/>
          <w:lang w:val="zh-CN"/>
        </w:rPr>
        <w:t>的投标价格为（</w:t>
      </w:r>
      <w:r>
        <w:rPr>
          <w:rFonts w:hint="eastAsia" w:ascii="仿宋" w:hAnsi="仿宋" w:eastAsia="仿宋" w:cs="仿宋"/>
          <w:color w:val="auto"/>
          <w:sz w:val="24"/>
          <w:szCs w:val="24"/>
          <w:highlight w:val="none"/>
          <w:u w:val="single"/>
          <w:lang w:val="en-US" w:eastAsia="zh-CN"/>
        </w:rPr>
        <w:t xml:space="preserve">  </w:t>
      </w:r>
      <w:r>
        <w:rPr>
          <w:rFonts w:hint="eastAsia" w:cs="仿宋"/>
          <w:color w:val="auto"/>
          <w:sz w:val="24"/>
          <w:szCs w:val="24"/>
          <w:highlight w:val="none"/>
          <w:u w:val="single"/>
          <w:lang w:val="en-US" w:eastAsia="zh-CN"/>
        </w:rPr>
        <w:t>元</w:t>
      </w:r>
      <w:r>
        <w:rPr>
          <w:rFonts w:hint="eastAsia" w:ascii="仿宋" w:hAnsi="仿宋" w:eastAsia="仿宋" w:cs="仿宋"/>
          <w:color w:val="auto"/>
          <w:sz w:val="24"/>
          <w:szCs w:val="24"/>
          <w:highlight w:val="none"/>
          <w:lang w:val="zh-CN"/>
        </w:rPr>
        <w:t>）</w:t>
      </w:r>
    </w:p>
    <w:p>
      <w:pPr>
        <w:tabs>
          <w:tab w:val="left" w:pos="8175"/>
        </w:tabs>
        <w:autoSpaceDE w:val="0"/>
        <w:autoSpaceDN w:val="0"/>
        <w:spacing w:line="360" w:lineRule="auto"/>
        <w:ind w:firstLine="960"/>
        <w:rPr>
          <w:rFonts w:hint="eastAsia" w:ascii="仿宋" w:hAnsi="仿宋" w:eastAsia="仿宋" w:cs="仿宋"/>
          <w:color w:val="auto"/>
          <w:sz w:val="24"/>
          <w:szCs w:val="24"/>
          <w:highlight w:val="none"/>
          <w:lang w:val="zh-CN"/>
        </w:rPr>
      </w:pPr>
      <w:r>
        <w:rPr>
          <w:rFonts w:hint="eastAsia" w:cs="仿宋"/>
          <w:color w:val="auto"/>
          <w:sz w:val="24"/>
          <w:szCs w:val="24"/>
          <w:highlight w:val="none"/>
          <w:lang w:val="zh-CN"/>
        </w:rPr>
        <w:t>服务期</w:t>
      </w:r>
      <w:r>
        <w:rPr>
          <w:rFonts w:hint="eastAsia" w:ascii="仿宋" w:hAnsi="仿宋" w:eastAsia="仿宋" w:cs="仿宋"/>
          <w:color w:val="auto"/>
          <w:sz w:val="24"/>
          <w:szCs w:val="24"/>
          <w:highlight w:val="none"/>
          <w:lang w:val="zh-CN"/>
        </w:rPr>
        <w:t>为：</w:t>
      </w:r>
    </w:p>
    <w:p>
      <w:pPr>
        <w:tabs>
          <w:tab w:val="left" w:pos="8175"/>
        </w:tabs>
        <w:autoSpaceDE w:val="0"/>
        <w:autoSpaceDN w:val="0"/>
        <w:spacing w:line="360" w:lineRule="auto"/>
        <w:ind w:firstLine="960"/>
        <w:rPr>
          <w:rFonts w:hint="eastAsia" w:ascii="仿宋" w:hAnsi="仿宋" w:eastAsia="仿宋" w:cs="仿宋"/>
          <w:color w:val="auto"/>
          <w:sz w:val="24"/>
          <w:szCs w:val="24"/>
          <w:highlight w:val="none"/>
          <w:lang w:val="zh-CN"/>
        </w:rPr>
      </w:pPr>
      <w:r>
        <w:rPr>
          <w:rFonts w:hint="eastAsia" w:cs="仿宋"/>
          <w:color w:val="auto"/>
          <w:sz w:val="24"/>
          <w:szCs w:val="24"/>
          <w:highlight w:val="none"/>
          <w:lang w:val="en-US" w:eastAsia="zh-CN"/>
        </w:rPr>
        <w:t>服务</w:t>
      </w:r>
      <w:r>
        <w:rPr>
          <w:rFonts w:hint="eastAsia" w:ascii="仿宋" w:hAnsi="仿宋" w:eastAsia="仿宋" w:cs="仿宋"/>
          <w:color w:val="auto"/>
          <w:sz w:val="24"/>
          <w:szCs w:val="24"/>
          <w:highlight w:val="none"/>
          <w:lang w:val="zh-CN"/>
        </w:rPr>
        <w:t>地点：…………。</w:t>
      </w:r>
    </w:p>
    <w:p>
      <w:pPr>
        <w:autoSpaceDE w:val="0"/>
        <w:autoSpaceDN w:val="0"/>
        <w:spacing w:line="360" w:lineRule="auto"/>
        <w:ind w:firstLine="48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2.如果我方中标，我们保证根据招标文件规定履行合同责任和义务。</w:t>
      </w:r>
    </w:p>
    <w:p>
      <w:pPr>
        <w:autoSpaceDE w:val="0"/>
        <w:autoSpaceDN w:val="0"/>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w:t>
      </w:r>
    </w:p>
    <w:p>
      <w:pPr>
        <w:autoSpaceDE w:val="0"/>
        <w:autoSpaceDN w:val="0"/>
        <w:spacing w:line="360" w:lineRule="auto"/>
        <w:ind w:firstLine="48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3.我方投标保证金与本投标文件同时提交。</w:t>
      </w:r>
    </w:p>
    <w:p>
      <w:pPr>
        <w:autoSpaceDE w:val="0"/>
        <w:autoSpaceDN w:val="0"/>
        <w:spacing w:line="360" w:lineRule="auto"/>
        <w:ind w:firstLine="48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4.如果我方中标，我方保证按照招标文件规定提交履约保证金，承担履约责任。</w:t>
      </w:r>
    </w:p>
    <w:p>
      <w:pPr>
        <w:autoSpaceDE w:val="0"/>
        <w:autoSpaceDN w:val="0"/>
        <w:spacing w:line="360" w:lineRule="auto"/>
        <w:ind w:firstLine="48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5.我们已详细阅读了全部招标文件，包括招标文件的修改、补充文件、参考资料及有关的附件，我们接受招标文件的全部条款和条件，我们知道必须放弃提出含糊不清或误解的问题的权利。</w:t>
      </w:r>
    </w:p>
    <w:p>
      <w:pPr>
        <w:autoSpaceDE w:val="0"/>
        <w:autoSpaceDN w:val="0"/>
        <w:spacing w:line="360" w:lineRule="auto"/>
        <w:ind w:firstLine="48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6.我们对招标文件关于时限、程序方面的规定没有异议，保证按照招标文件规定的时限和程序参加投标活动。</w:t>
      </w:r>
    </w:p>
    <w:p>
      <w:pPr>
        <w:autoSpaceDE w:val="0"/>
        <w:autoSpaceDN w:val="0"/>
        <w:spacing w:line="360" w:lineRule="auto"/>
        <w:ind w:firstLine="48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7.我们同意在投标人须知规定的开标时间起遵循本投标书，并在投标人须知规定的投标有效期满之前均具有约束力，并有可能中标。</w:t>
      </w:r>
    </w:p>
    <w:p>
      <w:pPr>
        <w:autoSpaceDE w:val="0"/>
        <w:autoSpaceDN w:val="0"/>
        <w:spacing w:line="360" w:lineRule="auto"/>
        <w:ind w:firstLine="48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8.我们如果在规定的投标有效期内撤回投标，则你方可不予退还我们的投标保证金。</w:t>
      </w:r>
    </w:p>
    <w:p>
      <w:pPr>
        <w:autoSpaceDE w:val="0"/>
        <w:autoSpaceDN w:val="0"/>
        <w:spacing w:line="360" w:lineRule="auto"/>
        <w:ind w:firstLine="48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9.我们保证向你方提供你方可能要求的与本投标有关的任何证据或资料。</w:t>
      </w:r>
    </w:p>
    <w:p>
      <w:pPr>
        <w:autoSpaceDE w:val="0"/>
        <w:autoSpaceDN w:val="0"/>
        <w:spacing w:line="360" w:lineRule="auto"/>
        <w:ind w:firstLine="48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10.我们完全理解你方不一定要接受最低报价的投标或收到的任何投标。</w:t>
      </w:r>
    </w:p>
    <w:p>
      <w:pPr>
        <w:autoSpaceDE w:val="0"/>
        <w:autoSpaceDN w:val="0"/>
        <w:spacing w:line="360" w:lineRule="auto"/>
        <w:ind w:firstLine="48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11.本投标自开标之时起90天内有效。</w:t>
      </w:r>
    </w:p>
    <w:p>
      <w:pPr>
        <w:tabs>
          <w:tab w:val="left" w:pos="709"/>
        </w:tabs>
        <w:autoSpaceDE w:val="0"/>
        <w:autoSpaceDN w:val="0"/>
        <w:spacing w:line="360" w:lineRule="auto"/>
        <w:ind w:firstLine="482"/>
        <w:rPr>
          <w:rFonts w:hint="eastAsia" w:ascii="仿宋" w:hAnsi="仿宋" w:eastAsia="仿宋" w:cs="仿宋"/>
          <w:b/>
          <w:bCs/>
          <w:color w:val="auto"/>
          <w:kern w:val="0"/>
          <w:sz w:val="24"/>
          <w:szCs w:val="24"/>
          <w:highlight w:val="none"/>
          <w:lang w:val="zh-CN"/>
        </w:rPr>
      </w:pPr>
      <w:r>
        <w:rPr>
          <w:rFonts w:hint="eastAsia" w:ascii="仿宋" w:hAnsi="仿宋" w:eastAsia="仿宋" w:cs="仿宋"/>
          <w:b/>
          <w:bCs/>
          <w:color w:val="auto"/>
          <w:kern w:val="0"/>
          <w:sz w:val="24"/>
          <w:szCs w:val="24"/>
          <w:highlight w:val="none"/>
          <w:lang w:val="zh-CN"/>
        </w:rPr>
        <w:t>12.我方保证严格遵守《中华人民共和国政府采购法》的有关规定，若有下列情形之一的，我方将被处不予退还投标保证金，列入不良行为记录名单，在一至三年内禁止参加政府采购活动，并予以公告：</w:t>
      </w:r>
    </w:p>
    <w:p>
      <w:pPr>
        <w:autoSpaceDE w:val="0"/>
        <w:autoSpaceDN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）提供虚假材料谋取中标、成交的；</w:t>
      </w:r>
    </w:p>
    <w:p>
      <w:pPr>
        <w:autoSpaceDE w:val="0"/>
        <w:autoSpaceDN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）采取不正当手段诋毁、排挤其他投标人的；</w:t>
      </w:r>
    </w:p>
    <w:p>
      <w:pPr>
        <w:autoSpaceDE w:val="0"/>
        <w:autoSpaceDN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zh-CN"/>
        </w:rPr>
        <w:t>）与其他投标人、招标代理机构或者采购单位人员或者其他有关人员恶意串通的；</w:t>
      </w:r>
    </w:p>
    <w:p>
      <w:pPr>
        <w:autoSpaceDE w:val="0"/>
        <w:autoSpaceDN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zh-CN"/>
        </w:rPr>
        <w:t>）向评标委员会成员、招标代理机构或者采购单位人员或者其他有关人员行贿或者提供其他不正当利益的；</w:t>
      </w:r>
    </w:p>
    <w:p>
      <w:pPr>
        <w:autoSpaceDE w:val="0"/>
        <w:autoSpaceDN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zh-CN"/>
        </w:rPr>
        <w:t>）被评定中标后无正当理由不与采购人订立合同，或者中标后不按招标文件和中标供应商的投标文件订立合同，或者与采购人另行订立背离合同实质性内容的协议的；</w:t>
      </w:r>
    </w:p>
    <w:p>
      <w:pPr>
        <w:autoSpaceDE w:val="0"/>
        <w:autoSpaceDN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zh-CN"/>
        </w:rPr>
        <w:t>）将中标项目转让给他人或者将中标项目分包给他人的；</w:t>
      </w:r>
    </w:p>
    <w:p>
      <w:pPr>
        <w:autoSpaceDE w:val="0"/>
        <w:autoSpaceDN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val="zh-CN"/>
        </w:rPr>
        <w:t>）签订合同后拒绝履行合同义务的；</w:t>
      </w:r>
    </w:p>
    <w:p>
      <w:pPr>
        <w:autoSpaceDE w:val="0"/>
        <w:autoSpaceDN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val="zh-CN"/>
        </w:rPr>
        <w:t>）拒绝有关部门监督检查或提供虚假情况的。</w:t>
      </w:r>
    </w:p>
    <w:p>
      <w:pPr>
        <w:autoSpaceDE w:val="0"/>
        <w:autoSpaceDN w:val="0"/>
        <w:spacing w:line="360" w:lineRule="auto"/>
        <w:ind w:firstLine="480"/>
        <w:rPr>
          <w:rFonts w:hint="eastAsia" w:ascii="仿宋" w:hAnsi="仿宋" w:eastAsia="仿宋" w:cs="仿宋"/>
          <w:color w:val="auto"/>
          <w:sz w:val="24"/>
          <w:szCs w:val="24"/>
          <w:highlight w:val="none"/>
          <w:lang w:val="zh-CN"/>
        </w:rPr>
      </w:pPr>
    </w:p>
    <w:p>
      <w:pPr>
        <w:autoSpaceDE w:val="0"/>
        <w:autoSpaceDN w:val="0"/>
        <w:spacing w:line="360" w:lineRule="auto"/>
        <w:ind w:left="1680" w:leftChars="0" w:firstLine="1701"/>
        <w:rPr>
          <w:rFonts w:hint="eastAsia" w:ascii="仿宋" w:hAnsi="仿宋" w:eastAsia="仿宋" w:cs="仿宋"/>
          <w:b/>
          <w:bCs/>
          <w:color w:val="auto"/>
          <w:sz w:val="24"/>
          <w:szCs w:val="24"/>
          <w:highlight w:val="none"/>
          <w:u w:val="single"/>
          <w:lang w:val="zh-CN"/>
        </w:rPr>
      </w:pPr>
      <w:r>
        <w:rPr>
          <w:rFonts w:hint="eastAsia" w:ascii="仿宋" w:hAnsi="仿宋" w:eastAsia="仿宋" w:cs="仿宋"/>
          <w:b/>
          <w:bCs/>
          <w:color w:val="auto"/>
          <w:sz w:val="24"/>
          <w:szCs w:val="24"/>
          <w:highlight w:val="none"/>
          <w:lang w:val="zh-CN"/>
        </w:rPr>
        <w:t>投标人名称（加盖公章）：</w:t>
      </w:r>
    </w:p>
    <w:p>
      <w:pPr>
        <w:autoSpaceDE w:val="0"/>
        <w:autoSpaceDN w:val="0"/>
        <w:spacing w:line="360" w:lineRule="auto"/>
        <w:ind w:left="1680" w:leftChars="0" w:firstLine="1701"/>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投标人代表姓名（手书签名）：</w:t>
      </w:r>
    </w:p>
    <w:p>
      <w:pPr>
        <w:autoSpaceDE w:val="0"/>
        <w:autoSpaceDN w:val="0"/>
        <w:spacing w:line="360" w:lineRule="auto"/>
        <w:ind w:left="1680" w:leftChars="0" w:firstLine="1701"/>
        <w:rPr>
          <w:rFonts w:hint="eastAsia" w:ascii="仿宋" w:hAnsi="仿宋" w:eastAsia="仿宋" w:cs="仿宋"/>
          <w:color w:val="auto"/>
          <w:sz w:val="24"/>
          <w:szCs w:val="24"/>
          <w:highlight w:val="none"/>
          <w:u w:val="single"/>
          <w:lang w:val="zh-CN"/>
        </w:rPr>
      </w:pPr>
      <w:r>
        <w:rPr>
          <w:rFonts w:hint="eastAsia" w:ascii="仿宋" w:hAnsi="仿宋" w:eastAsia="仿宋" w:cs="仿宋"/>
          <w:color w:val="auto"/>
          <w:sz w:val="24"/>
          <w:szCs w:val="24"/>
          <w:highlight w:val="none"/>
          <w:lang w:val="zh-CN"/>
        </w:rPr>
        <w:t>地址：</w:t>
      </w:r>
    </w:p>
    <w:p>
      <w:pPr>
        <w:autoSpaceDE w:val="0"/>
        <w:autoSpaceDN w:val="0"/>
        <w:spacing w:line="360" w:lineRule="auto"/>
        <w:ind w:left="1680" w:leftChars="0" w:firstLine="1701"/>
        <w:rPr>
          <w:rFonts w:hint="eastAsia" w:ascii="仿宋" w:hAnsi="仿宋" w:eastAsia="仿宋" w:cs="仿宋"/>
          <w:color w:val="auto"/>
          <w:sz w:val="24"/>
          <w:szCs w:val="24"/>
          <w:highlight w:val="none"/>
          <w:u w:val="single"/>
          <w:lang w:val="zh-CN"/>
        </w:rPr>
      </w:pPr>
      <w:r>
        <w:rPr>
          <w:rFonts w:hint="eastAsia" w:ascii="仿宋" w:hAnsi="仿宋" w:eastAsia="仿宋" w:cs="仿宋"/>
          <w:color w:val="auto"/>
          <w:sz w:val="24"/>
          <w:szCs w:val="24"/>
          <w:highlight w:val="none"/>
          <w:lang w:val="zh-CN"/>
        </w:rPr>
        <w:t>电话、传真或电传：</w:t>
      </w:r>
    </w:p>
    <w:p>
      <w:pPr>
        <w:autoSpaceDE w:val="0"/>
        <w:autoSpaceDN w:val="0"/>
        <w:spacing w:line="360" w:lineRule="auto"/>
        <w:ind w:left="1680" w:leftChars="0" w:firstLine="1701"/>
        <w:rPr>
          <w:rFonts w:hint="eastAsia" w:ascii="仿宋" w:hAnsi="仿宋" w:eastAsia="仿宋" w:cs="仿宋"/>
          <w:color w:val="auto"/>
          <w:sz w:val="24"/>
          <w:szCs w:val="24"/>
          <w:highlight w:val="none"/>
          <w:u w:val="single"/>
          <w:lang w:val="zh-CN"/>
        </w:rPr>
      </w:pPr>
      <w:r>
        <w:rPr>
          <w:rFonts w:hint="eastAsia" w:ascii="仿宋" w:hAnsi="仿宋" w:eastAsia="仿宋" w:cs="仿宋"/>
          <w:color w:val="auto"/>
          <w:sz w:val="24"/>
          <w:szCs w:val="24"/>
          <w:highlight w:val="none"/>
          <w:lang w:val="zh-CN"/>
        </w:rPr>
        <w:t>邮政编码：</w:t>
      </w:r>
    </w:p>
    <w:p>
      <w:pPr>
        <w:autoSpaceDE w:val="0"/>
        <w:autoSpaceDN w:val="0"/>
        <w:spacing w:line="360" w:lineRule="auto"/>
        <w:ind w:left="1680" w:leftChars="0" w:firstLine="1701"/>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日期：年月日</w:t>
      </w:r>
    </w:p>
    <w:p>
      <w:pPr>
        <w:autoSpaceDE w:val="0"/>
        <w:autoSpaceDN w:val="0"/>
        <w:spacing w:line="360" w:lineRule="auto"/>
        <w:ind w:firstLine="1701"/>
        <w:rPr>
          <w:rFonts w:hint="eastAsia" w:ascii="仿宋" w:hAnsi="仿宋" w:eastAsia="仿宋" w:cs="仿宋"/>
          <w:color w:val="auto"/>
          <w:sz w:val="24"/>
          <w:szCs w:val="24"/>
          <w:highlight w:val="none"/>
          <w:lang w:val="zh-CN"/>
        </w:rPr>
      </w:pPr>
    </w:p>
    <w:p>
      <w:pPr>
        <w:autoSpaceDE w:val="0"/>
        <w:autoSpaceDN w:val="0"/>
        <w:adjustRightInd w:val="0"/>
        <w:spacing w:line="400" w:lineRule="exact"/>
        <w:jc w:val="center"/>
        <w:outlineLvl w:val="9"/>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请投标人注意：投标函必须按规定有效签署和加盖公章，否则为废标。</w:t>
      </w: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pPr>
        <w:pStyle w:val="4"/>
        <w:numPr>
          <w:ilvl w:val="0"/>
          <w:numId w:val="13"/>
        </w:numPr>
        <w:spacing w:before="0" w:after="0" w:line="360" w:lineRule="auto"/>
        <w:jc w:val="center"/>
        <w:rPr>
          <w:rFonts w:hint="eastAsia" w:cs="仿宋"/>
          <w:color w:val="auto"/>
          <w:sz w:val="28"/>
          <w:szCs w:val="28"/>
          <w:highlight w:val="none"/>
          <w:lang w:val="en-US" w:eastAsia="zh-CN"/>
        </w:rPr>
      </w:pPr>
      <w:r>
        <w:rPr>
          <w:rFonts w:hint="eastAsia" w:ascii="仿宋" w:hAnsi="仿宋" w:eastAsia="仿宋" w:cs="仿宋"/>
          <w:color w:val="auto"/>
          <w:sz w:val="28"/>
          <w:szCs w:val="28"/>
          <w:highlight w:val="none"/>
        </w:rPr>
        <w:t>投标函</w:t>
      </w:r>
      <w:r>
        <w:rPr>
          <w:rFonts w:hint="eastAsia" w:cs="仿宋"/>
          <w:color w:val="auto"/>
          <w:sz w:val="28"/>
          <w:szCs w:val="28"/>
          <w:highlight w:val="none"/>
          <w:lang w:val="en-US" w:eastAsia="zh-CN"/>
        </w:rPr>
        <w:t>附录</w:t>
      </w:r>
    </w:p>
    <w:p>
      <w:pPr>
        <w:numPr>
          <w:ilvl w:val="0"/>
          <w:numId w:val="0"/>
        </w:numPr>
        <w:ind w:firstLine="0"/>
        <w:rPr>
          <w:rFonts w:hint="eastAsia"/>
          <w:highlight w:val="none"/>
          <w:lang w:val="en-US" w:eastAsia="zh-CN"/>
        </w:rPr>
      </w:pPr>
      <w:r>
        <w:rPr>
          <w:rFonts w:hint="eastAsia"/>
          <w:highlight w:val="none"/>
          <w:lang w:val="en-US" w:eastAsia="zh-CN"/>
        </w:rPr>
        <w:t>项目名称:</w:t>
      </w:r>
    </w:p>
    <w:p>
      <w:pPr>
        <w:numPr>
          <w:ilvl w:val="0"/>
          <w:numId w:val="0"/>
        </w:numPr>
        <w:ind w:firstLine="0"/>
        <w:rPr>
          <w:rFonts w:hint="eastAsia"/>
          <w:highlight w:val="none"/>
          <w:lang w:val="en-US" w:eastAsia="zh-CN"/>
        </w:rPr>
      </w:pPr>
      <w:r>
        <w:rPr>
          <w:rFonts w:hint="eastAsia"/>
          <w:highlight w:val="none"/>
          <w:lang w:val="en-US" w:eastAsia="zh-CN"/>
        </w:rPr>
        <w:t>项目编号：</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2276"/>
        <w:gridCol w:w="3210"/>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pPr>
              <w:pStyle w:val="11"/>
              <w:widowControl w:val="0"/>
              <w:jc w:val="center"/>
              <w:rPr>
                <w:rFonts w:hint="default"/>
                <w:highlight w:val="none"/>
                <w:vertAlign w:val="baseline"/>
                <w:lang w:val="en-US" w:eastAsia="zh-CN"/>
              </w:rPr>
            </w:pPr>
            <w:r>
              <w:rPr>
                <w:rFonts w:hint="eastAsia"/>
                <w:highlight w:val="none"/>
                <w:vertAlign w:val="baseline"/>
                <w:lang w:val="en-US" w:eastAsia="zh-CN"/>
              </w:rPr>
              <w:t>序号</w:t>
            </w:r>
          </w:p>
        </w:tc>
        <w:tc>
          <w:tcPr>
            <w:tcW w:w="2276" w:type="dxa"/>
          </w:tcPr>
          <w:p>
            <w:pPr>
              <w:pStyle w:val="11"/>
              <w:widowControl w:val="0"/>
              <w:jc w:val="center"/>
              <w:rPr>
                <w:rFonts w:hint="default"/>
                <w:highlight w:val="none"/>
                <w:vertAlign w:val="baseline"/>
                <w:lang w:val="en-US" w:eastAsia="zh-CN"/>
              </w:rPr>
            </w:pPr>
            <w:r>
              <w:rPr>
                <w:rFonts w:hint="eastAsia"/>
                <w:highlight w:val="none"/>
                <w:vertAlign w:val="baseline"/>
                <w:lang w:val="en-US" w:eastAsia="zh-CN"/>
              </w:rPr>
              <w:t>条款内容</w:t>
            </w:r>
          </w:p>
        </w:tc>
        <w:tc>
          <w:tcPr>
            <w:tcW w:w="3210" w:type="dxa"/>
          </w:tcPr>
          <w:p>
            <w:pPr>
              <w:pStyle w:val="11"/>
              <w:widowControl w:val="0"/>
              <w:jc w:val="center"/>
              <w:rPr>
                <w:rFonts w:hint="default"/>
                <w:highlight w:val="none"/>
                <w:vertAlign w:val="baseline"/>
                <w:lang w:val="en-US" w:eastAsia="zh-CN"/>
              </w:rPr>
            </w:pPr>
            <w:r>
              <w:rPr>
                <w:rFonts w:hint="eastAsia"/>
                <w:highlight w:val="none"/>
                <w:vertAlign w:val="baseline"/>
                <w:lang w:val="en-US" w:eastAsia="zh-CN"/>
              </w:rPr>
              <w:t>约定内容</w:t>
            </w:r>
          </w:p>
        </w:tc>
        <w:tc>
          <w:tcPr>
            <w:tcW w:w="2131" w:type="dxa"/>
          </w:tcPr>
          <w:p>
            <w:pPr>
              <w:pStyle w:val="11"/>
              <w:widowControl w:val="0"/>
              <w:jc w:val="center"/>
              <w:rPr>
                <w:rFonts w:hint="default"/>
                <w:highlight w:val="none"/>
                <w:vertAlign w:val="baseline"/>
                <w:lang w:val="en-US" w:eastAsia="zh-CN"/>
              </w:rPr>
            </w:pPr>
            <w:r>
              <w:rPr>
                <w:rFonts w:hint="eastAsia"/>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pPr>
              <w:pStyle w:val="11"/>
              <w:widowControl w:val="0"/>
              <w:jc w:val="center"/>
              <w:rPr>
                <w:rFonts w:hint="default"/>
                <w:highlight w:val="none"/>
                <w:vertAlign w:val="baseline"/>
                <w:lang w:val="en-US" w:eastAsia="zh-CN"/>
              </w:rPr>
            </w:pPr>
            <w:r>
              <w:rPr>
                <w:rFonts w:hint="eastAsia"/>
                <w:highlight w:val="none"/>
                <w:vertAlign w:val="baseline"/>
                <w:lang w:val="en-US" w:eastAsia="zh-CN"/>
              </w:rPr>
              <w:t>1</w:t>
            </w:r>
          </w:p>
        </w:tc>
        <w:tc>
          <w:tcPr>
            <w:tcW w:w="2276" w:type="dxa"/>
          </w:tcPr>
          <w:p>
            <w:pPr>
              <w:pStyle w:val="11"/>
              <w:widowControl w:val="0"/>
              <w:ind w:firstLine="0"/>
              <w:jc w:val="both"/>
              <w:rPr>
                <w:rFonts w:hint="eastAsia" w:ascii="仿宋" w:hAnsi="仿宋" w:eastAsia="仿宋" w:cs="仿宋"/>
                <w:sz w:val="21"/>
                <w:szCs w:val="21"/>
                <w:highlight w:val="none"/>
                <w:lang w:val="en-US" w:eastAsia="zh-CN"/>
              </w:rPr>
            </w:pPr>
            <w:r>
              <w:rPr>
                <w:rFonts w:hint="eastAsia" w:ascii="仿宋" w:hAnsi="仿宋" w:cs="仿宋"/>
                <w:sz w:val="21"/>
                <w:szCs w:val="21"/>
                <w:highlight w:val="none"/>
                <w:lang w:eastAsia="zh-CN"/>
              </w:rPr>
              <w:t>服务期</w:t>
            </w:r>
          </w:p>
        </w:tc>
        <w:tc>
          <w:tcPr>
            <w:tcW w:w="3210" w:type="dxa"/>
          </w:tcPr>
          <w:p>
            <w:pPr>
              <w:pStyle w:val="11"/>
              <w:widowControl w:val="0"/>
              <w:jc w:val="both"/>
              <w:rPr>
                <w:rFonts w:hint="default"/>
                <w:highlight w:val="none"/>
                <w:vertAlign w:val="baseline"/>
                <w:lang w:val="en-US" w:eastAsia="zh-CN"/>
              </w:rPr>
            </w:pPr>
          </w:p>
        </w:tc>
        <w:tc>
          <w:tcPr>
            <w:tcW w:w="2131" w:type="dxa"/>
          </w:tcPr>
          <w:p>
            <w:pPr>
              <w:pStyle w:val="11"/>
              <w:widowControl w:val="0"/>
              <w:jc w:val="both"/>
              <w:rPr>
                <w:rFonts w:hint="default"/>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pPr>
              <w:pStyle w:val="11"/>
              <w:widowControl w:val="0"/>
              <w:jc w:val="center"/>
              <w:rPr>
                <w:rFonts w:hint="default"/>
                <w:highlight w:val="none"/>
                <w:vertAlign w:val="baseline"/>
                <w:lang w:val="en-US" w:eastAsia="zh-CN"/>
              </w:rPr>
            </w:pPr>
            <w:r>
              <w:rPr>
                <w:rFonts w:hint="eastAsia"/>
                <w:highlight w:val="none"/>
                <w:vertAlign w:val="baseline"/>
                <w:lang w:val="en-US" w:eastAsia="zh-CN"/>
              </w:rPr>
              <w:t>2</w:t>
            </w:r>
          </w:p>
        </w:tc>
        <w:tc>
          <w:tcPr>
            <w:tcW w:w="2276" w:type="dxa"/>
          </w:tcPr>
          <w:p>
            <w:pPr>
              <w:pStyle w:val="11"/>
              <w:widowControl w:val="0"/>
              <w:ind w:firstLine="0"/>
              <w:jc w:val="both"/>
              <w:rPr>
                <w:rFonts w:hint="eastAsia" w:ascii="仿宋" w:hAnsi="仿宋" w:eastAsia="仿宋" w:cs="仿宋"/>
                <w:sz w:val="21"/>
                <w:szCs w:val="21"/>
                <w:highlight w:val="none"/>
                <w:lang w:val="en-US" w:eastAsia="zh-CN"/>
              </w:rPr>
            </w:pPr>
            <w:r>
              <w:rPr>
                <w:rFonts w:hint="eastAsia" w:ascii="仿宋" w:hAnsi="仿宋" w:cs="仿宋"/>
                <w:sz w:val="21"/>
                <w:szCs w:val="21"/>
                <w:highlight w:val="none"/>
                <w:lang w:eastAsia="zh-CN"/>
              </w:rPr>
              <w:t>服务地点</w:t>
            </w:r>
          </w:p>
        </w:tc>
        <w:tc>
          <w:tcPr>
            <w:tcW w:w="3210" w:type="dxa"/>
          </w:tcPr>
          <w:p>
            <w:pPr>
              <w:pStyle w:val="11"/>
              <w:widowControl w:val="0"/>
              <w:jc w:val="both"/>
              <w:rPr>
                <w:rFonts w:hint="default"/>
                <w:highlight w:val="none"/>
                <w:vertAlign w:val="baseline"/>
                <w:lang w:val="en-US" w:eastAsia="zh-CN"/>
              </w:rPr>
            </w:pPr>
          </w:p>
        </w:tc>
        <w:tc>
          <w:tcPr>
            <w:tcW w:w="2131" w:type="dxa"/>
          </w:tcPr>
          <w:p>
            <w:pPr>
              <w:pStyle w:val="11"/>
              <w:widowControl w:val="0"/>
              <w:jc w:val="both"/>
              <w:rPr>
                <w:rFonts w:hint="default"/>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5" w:type="dxa"/>
          </w:tcPr>
          <w:p>
            <w:pPr>
              <w:pStyle w:val="11"/>
              <w:widowControl w:val="0"/>
              <w:jc w:val="center"/>
              <w:rPr>
                <w:rFonts w:hint="default"/>
                <w:highlight w:val="none"/>
                <w:vertAlign w:val="baseline"/>
                <w:lang w:val="en-US" w:eastAsia="zh-CN"/>
              </w:rPr>
            </w:pPr>
            <w:r>
              <w:rPr>
                <w:rFonts w:hint="eastAsia"/>
                <w:highlight w:val="none"/>
                <w:vertAlign w:val="baseline"/>
                <w:lang w:val="en-US" w:eastAsia="zh-CN"/>
              </w:rPr>
              <w:t>3</w:t>
            </w:r>
          </w:p>
        </w:tc>
        <w:tc>
          <w:tcPr>
            <w:tcW w:w="2276" w:type="dxa"/>
          </w:tcPr>
          <w:p>
            <w:pPr>
              <w:pStyle w:val="11"/>
              <w:widowControl w:val="0"/>
              <w:ind w:firstLine="0"/>
              <w:jc w:val="both"/>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rPr>
              <w:t>质量标准</w:t>
            </w:r>
          </w:p>
        </w:tc>
        <w:tc>
          <w:tcPr>
            <w:tcW w:w="3210" w:type="dxa"/>
          </w:tcPr>
          <w:p>
            <w:pPr>
              <w:pStyle w:val="11"/>
              <w:widowControl w:val="0"/>
              <w:jc w:val="both"/>
              <w:rPr>
                <w:rFonts w:hint="default"/>
                <w:highlight w:val="none"/>
                <w:vertAlign w:val="baseline"/>
                <w:lang w:val="en-US" w:eastAsia="zh-CN"/>
              </w:rPr>
            </w:pPr>
          </w:p>
        </w:tc>
        <w:tc>
          <w:tcPr>
            <w:tcW w:w="2131" w:type="dxa"/>
          </w:tcPr>
          <w:p>
            <w:pPr>
              <w:pStyle w:val="11"/>
              <w:widowControl w:val="0"/>
              <w:jc w:val="both"/>
              <w:rPr>
                <w:rFonts w:hint="default"/>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pPr>
              <w:pStyle w:val="11"/>
              <w:widowControl w:val="0"/>
              <w:jc w:val="center"/>
              <w:rPr>
                <w:rFonts w:hint="default"/>
                <w:highlight w:val="none"/>
                <w:vertAlign w:val="baseline"/>
                <w:lang w:val="en-US" w:eastAsia="zh-CN"/>
              </w:rPr>
            </w:pPr>
            <w:r>
              <w:rPr>
                <w:rFonts w:hint="eastAsia"/>
                <w:highlight w:val="none"/>
                <w:vertAlign w:val="baseline"/>
                <w:lang w:val="en-US" w:eastAsia="zh-CN"/>
              </w:rPr>
              <w:t>4</w:t>
            </w:r>
          </w:p>
        </w:tc>
        <w:tc>
          <w:tcPr>
            <w:tcW w:w="2276" w:type="dxa"/>
          </w:tcPr>
          <w:p>
            <w:pPr>
              <w:pStyle w:val="11"/>
              <w:widowControl w:val="0"/>
              <w:ind w:firstLine="0"/>
              <w:jc w:val="both"/>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rPr>
              <w:t>联合体投标</w:t>
            </w:r>
          </w:p>
        </w:tc>
        <w:tc>
          <w:tcPr>
            <w:tcW w:w="3210" w:type="dxa"/>
          </w:tcPr>
          <w:p>
            <w:pPr>
              <w:pStyle w:val="11"/>
              <w:widowControl w:val="0"/>
              <w:jc w:val="both"/>
              <w:rPr>
                <w:rFonts w:hint="default"/>
                <w:highlight w:val="none"/>
                <w:vertAlign w:val="baseline"/>
                <w:lang w:val="en-US" w:eastAsia="zh-CN"/>
              </w:rPr>
            </w:pPr>
          </w:p>
        </w:tc>
        <w:tc>
          <w:tcPr>
            <w:tcW w:w="2131" w:type="dxa"/>
          </w:tcPr>
          <w:p>
            <w:pPr>
              <w:pStyle w:val="11"/>
              <w:widowControl w:val="0"/>
              <w:jc w:val="both"/>
              <w:rPr>
                <w:rFonts w:hint="default"/>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pPr>
              <w:pStyle w:val="11"/>
              <w:widowControl w:val="0"/>
              <w:jc w:val="center"/>
              <w:rPr>
                <w:rFonts w:hint="default"/>
                <w:highlight w:val="none"/>
                <w:vertAlign w:val="baseline"/>
                <w:lang w:val="en-US" w:eastAsia="zh-CN"/>
              </w:rPr>
            </w:pPr>
            <w:r>
              <w:rPr>
                <w:rFonts w:hint="eastAsia"/>
                <w:highlight w:val="none"/>
                <w:vertAlign w:val="baseline"/>
                <w:lang w:val="en-US" w:eastAsia="zh-CN"/>
              </w:rPr>
              <w:t>5</w:t>
            </w:r>
          </w:p>
        </w:tc>
        <w:tc>
          <w:tcPr>
            <w:tcW w:w="2276" w:type="dxa"/>
          </w:tcPr>
          <w:p>
            <w:pPr>
              <w:pStyle w:val="11"/>
              <w:widowControl w:val="0"/>
              <w:ind w:firstLine="0"/>
              <w:jc w:val="both"/>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rPr>
              <w:t>分包</w:t>
            </w:r>
          </w:p>
        </w:tc>
        <w:tc>
          <w:tcPr>
            <w:tcW w:w="3210" w:type="dxa"/>
          </w:tcPr>
          <w:p>
            <w:pPr>
              <w:pStyle w:val="11"/>
              <w:widowControl w:val="0"/>
              <w:jc w:val="both"/>
              <w:rPr>
                <w:rFonts w:hint="default"/>
                <w:highlight w:val="none"/>
                <w:vertAlign w:val="baseline"/>
                <w:lang w:val="en-US" w:eastAsia="zh-CN"/>
              </w:rPr>
            </w:pPr>
          </w:p>
        </w:tc>
        <w:tc>
          <w:tcPr>
            <w:tcW w:w="2131" w:type="dxa"/>
          </w:tcPr>
          <w:p>
            <w:pPr>
              <w:pStyle w:val="11"/>
              <w:widowControl w:val="0"/>
              <w:jc w:val="both"/>
              <w:rPr>
                <w:rFonts w:hint="default"/>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pPr>
              <w:pStyle w:val="11"/>
              <w:widowControl w:val="0"/>
              <w:jc w:val="center"/>
              <w:rPr>
                <w:rFonts w:hint="default"/>
                <w:highlight w:val="none"/>
                <w:vertAlign w:val="baseline"/>
                <w:lang w:val="en-US" w:eastAsia="zh-CN"/>
              </w:rPr>
            </w:pPr>
            <w:r>
              <w:rPr>
                <w:rFonts w:hint="eastAsia"/>
                <w:highlight w:val="none"/>
                <w:vertAlign w:val="baseline"/>
                <w:lang w:val="en-US" w:eastAsia="zh-CN"/>
              </w:rPr>
              <w:t>6</w:t>
            </w:r>
          </w:p>
        </w:tc>
        <w:tc>
          <w:tcPr>
            <w:tcW w:w="2276" w:type="dxa"/>
          </w:tcPr>
          <w:p>
            <w:pPr>
              <w:pStyle w:val="11"/>
              <w:widowControl w:val="0"/>
              <w:ind w:firstLine="0"/>
              <w:jc w:val="both"/>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rPr>
              <w:t>投标有效期</w:t>
            </w:r>
          </w:p>
        </w:tc>
        <w:tc>
          <w:tcPr>
            <w:tcW w:w="3210" w:type="dxa"/>
          </w:tcPr>
          <w:p>
            <w:pPr>
              <w:pStyle w:val="11"/>
              <w:widowControl w:val="0"/>
              <w:jc w:val="both"/>
              <w:rPr>
                <w:rFonts w:hint="default"/>
                <w:highlight w:val="none"/>
                <w:vertAlign w:val="baseline"/>
                <w:lang w:val="en-US" w:eastAsia="zh-CN"/>
              </w:rPr>
            </w:pPr>
          </w:p>
        </w:tc>
        <w:tc>
          <w:tcPr>
            <w:tcW w:w="2131" w:type="dxa"/>
          </w:tcPr>
          <w:p>
            <w:pPr>
              <w:pStyle w:val="11"/>
              <w:widowControl w:val="0"/>
              <w:jc w:val="both"/>
              <w:rPr>
                <w:rFonts w:hint="default"/>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5" w:type="dxa"/>
          </w:tcPr>
          <w:p>
            <w:pPr>
              <w:pStyle w:val="11"/>
              <w:widowControl w:val="0"/>
              <w:jc w:val="center"/>
              <w:rPr>
                <w:rFonts w:hint="default"/>
                <w:highlight w:val="none"/>
                <w:vertAlign w:val="baseline"/>
                <w:lang w:val="en-US" w:eastAsia="zh-CN"/>
              </w:rPr>
            </w:pPr>
            <w:r>
              <w:rPr>
                <w:rFonts w:hint="eastAsia"/>
                <w:highlight w:val="none"/>
                <w:vertAlign w:val="baseline"/>
                <w:lang w:val="en-US" w:eastAsia="zh-CN"/>
              </w:rPr>
              <w:t>7</w:t>
            </w:r>
          </w:p>
        </w:tc>
        <w:tc>
          <w:tcPr>
            <w:tcW w:w="2276" w:type="dxa"/>
          </w:tcPr>
          <w:p>
            <w:pPr>
              <w:pStyle w:val="11"/>
              <w:widowControl w:val="0"/>
              <w:ind w:firstLine="0"/>
              <w:jc w:val="both"/>
              <w:rPr>
                <w:rFonts w:hint="default" w:ascii="仿宋" w:hAnsi="仿宋" w:eastAsia="仿宋" w:cs="仿宋"/>
                <w:sz w:val="21"/>
                <w:szCs w:val="21"/>
                <w:highlight w:val="none"/>
                <w:lang w:val="en-US" w:eastAsia="zh-CN"/>
              </w:rPr>
            </w:pPr>
          </w:p>
        </w:tc>
        <w:tc>
          <w:tcPr>
            <w:tcW w:w="3210" w:type="dxa"/>
          </w:tcPr>
          <w:p>
            <w:pPr>
              <w:pStyle w:val="11"/>
              <w:widowControl w:val="0"/>
              <w:jc w:val="both"/>
              <w:rPr>
                <w:rFonts w:hint="default"/>
                <w:highlight w:val="none"/>
                <w:vertAlign w:val="baseline"/>
                <w:lang w:val="en-US" w:eastAsia="zh-CN"/>
              </w:rPr>
            </w:pPr>
          </w:p>
        </w:tc>
        <w:tc>
          <w:tcPr>
            <w:tcW w:w="2131" w:type="dxa"/>
          </w:tcPr>
          <w:p>
            <w:pPr>
              <w:pStyle w:val="11"/>
              <w:widowControl w:val="0"/>
              <w:jc w:val="both"/>
              <w:rPr>
                <w:rFonts w:hint="default"/>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pPr>
              <w:pStyle w:val="11"/>
              <w:widowControl w:val="0"/>
              <w:jc w:val="center"/>
              <w:rPr>
                <w:rFonts w:hint="default"/>
                <w:highlight w:val="none"/>
                <w:vertAlign w:val="baseline"/>
                <w:lang w:val="en-US" w:eastAsia="zh-CN"/>
              </w:rPr>
            </w:pPr>
            <w:r>
              <w:rPr>
                <w:rFonts w:hint="eastAsia"/>
                <w:highlight w:val="none"/>
                <w:vertAlign w:val="baseline"/>
                <w:lang w:val="en-US" w:eastAsia="zh-CN"/>
              </w:rPr>
              <w:t>8</w:t>
            </w:r>
          </w:p>
        </w:tc>
        <w:tc>
          <w:tcPr>
            <w:tcW w:w="2276" w:type="dxa"/>
          </w:tcPr>
          <w:p>
            <w:pPr>
              <w:pStyle w:val="11"/>
              <w:widowControl w:val="0"/>
              <w:jc w:val="both"/>
              <w:rPr>
                <w:rFonts w:hint="default"/>
                <w:highlight w:val="none"/>
                <w:vertAlign w:val="baseline"/>
                <w:lang w:val="en-US" w:eastAsia="zh-CN"/>
              </w:rPr>
            </w:pPr>
          </w:p>
        </w:tc>
        <w:tc>
          <w:tcPr>
            <w:tcW w:w="3210" w:type="dxa"/>
          </w:tcPr>
          <w:p>
            <w:pPr>
              <w:pStyle w:val="11"/>
              <w:widowControl w:val="0"/>
              <w:jc w:val="both"/>
              <w:rPr>
                <w:rFonts w:hint="default"/>
                <w:highlight w:val="none"/>
                <w:vertAlign w:val="baseline"/>
                <w:lang w:val="en-US" w:eastAsia="zh-CN"/>
              </w:rPr>
            </w:pPr>
          </w:p>
        </w:tc>
        <w:tc>
          <w:tcPr>
            <w:tcW w:w="2131" w:type="dxa"/>
          </w:tcPr>
          <w:p>
            <w:pPr>
              <w:pStyle w:val="11"/>
              <w:widowControl w:val="0"/>
              <w:jc w:val="both"/>
              <w:rPr>
                <w:rFonts w:hint="default"/>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pPr>
              <w:pStyle w:val="11"/>
              <w:widowControl w:val="0"/>
              <w:jc w:val="center"/>
              <w:rPr>
                <w:rFonts w:hint="default"/>
                <w:highlight w:val="none"/>
                <w:vertAlign w:val="baseline"/>
                <w:lang w:val="en-US" w:eastAsia="zh-CN"/>
              </w:rPr>
            </w:pPr>
            <w:r>
              <w:rPr>
                <w:rFonts w:hint="eastAsia"/>
                <w:highlight w:val="none"/>
                <w:vertAlign w:val="baseline"/>
                <w:lang w:val="en-US" w:eastAsia="zh-CN"/>
              </w:rPr>
              <w:t>9</w:t>
            </w:r>
          </w:p>
        </w:tc>
        <w:tc>
          <w:tcPr>
            <w:tcW w:w="2276" w:type="dxa"/>
          </w:tcPr>
          <w:p>
            <w:pPr>
              <w:pStyle w:val="11"/>
              <w:widowControl w:val="0"/>
              <w:jc w:val="both"/>
              <w:rPr>
                <w:rFonts w:hint="default"/>
                <w:highlight w:val="none"/>
                <w:vertAlign w:val="baseline"/>
                <w:lang w:val="en-US" w:eastAsia="zh-CN"/>
              </w:rPr>
            </w:pPr>
          </w:p>
        </w:tc>
        <w:tc>
          <w:tcPr>
            <w:tcW w:w="3210" w:type="dxa"/>
          </w:tcPr>
          <w:p>
            <w:pPr>
              <w:pStyle w:val="11"/>
              <w:widowControl w:val="0"/>
              <w:jc w:val="both"/>
              <w:rPr>
                <w:rFonts w:hint="default"/>
                <w:highlight w:val="none"/>
                <w:vertAlign w:val="baseline"/>
                <w:lang w:val="en-US" w:eastAsia="zh-CN"/>
              </w:rPr>
            </w:pPr>
          </w:p>
        </w:tc>
        <w:tc>
          <w:tcPr>
            <w:tcW w:w="2131" w:type="dxa"/>
          </w:tcPr>
          <w:p>
            <w:pPr>
              <w:pStyle w:val="11"/>
              <w:widowControl w:val="0"/>
              <w:jc w:val="both"/>
              <w:rPr>
                <w:rFonts w:hint="default"/>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pPr>
              <w:pStyle w:val="11"/>
              <w:widowControl w:val="0"/>
              <w:jc w:val="center"/>
              <w:rPr>
                <w:rFonts w:hint="default"/>
                <w:highlight w:val="none"/>
                <w:vertAlign w:val="baseline"/>
                <w:lang w:val="en-US" w:eastAsia="zh-CN"/>
              </w:rPr>
            </w:pPr>
            <w:r>
              <w:rPr>
                <w:rFonts w:hint="eastAsia"/>
                <w:highlight w:val="none"/>
                <w:vertAlign w:val="baseline"/>
                <w:lang w:val="en-US" w:eastAsia="zh-CN"/>
              </w:rPr>
              <w:t>10</w:t>
            </w:r>
          </w:p>
        </w:tc>
        <w:tc>
          <w:tcPr>
            <w:tcW w:w="2276" w:type="dxa"/>
          </w:tcPr>
          <w:p>
            <w:pPr>
              <w:pStyle w:val="11"/>
              <w:widowControl w:val="0"/>
              <w:jc w:val="both"/>
              <w:rPr>
                <w:rFonts w:hint="default"/>
                <w:highlight w:val="none"/>
                <w:vertAlign w:val="baseline"/>
                <w:lang w:val="en-US" w:eastAsia="zh-CN"/>
              </w:rPr>
            </w:pPr>
          </w:p>
        </w:tc>
        <w:tc>
          <w:tcPr>
            <w:tcW w:w="3210" w:type="dxa"/>
          </w:tcPr>
          <w:p>
            <w:pPr>
              <w:pStyle w:val="11"/>
              <w:widowControl w:val="0"/>
              <w:jc w:val="both"/>
              <w:rPr>
                <w:rFonts w:hint="default"/>
                <w:highlight w:val="none"/>
                <w:vertAlign w:val="baseline"/>
                <w:lang w:val="en-US" w:eastAsia="zh-CN"/>
              </w:rPr>
            </w:pPr>
          </w:p>
        </w:tc>
        <w:tc>
          <w:tcPr>
            <w:tcW w:w="2131" w:type="dxa"/>
          </w:tcPr>
          <w:p>
            <w:pPr>
              <w:pStyle w:val="11"/>
              <w:widowControl w:val="0"/>
              <w:jc w:val="both"/>
              <w:rPr>
                <w:rFonts w:hint="default"/>
                <w:highlight w:val="none"/>
                <w:vertAlign w:val="baseline"/>
                <w:lang w:val="en-US" w:eastAsia="zh-CN"/>
              </w:rPr>
            </w:pPr>
          </w:p>
        </w:tc>
      </w:tr>
    </w:tbl>
    <w:p>
      <w:pPr>
        <w:pStyle w:val="11"/>
        <w:rPr>
          <w:rFonts w:hint="default"/>
          <w:highlight w:val="none"/>
          <w:lang w:val="en-US" w:eastAsia="zh-CN"/>
        </w:rPr>
      </w:pPr>
    </w:p>
    <w:p>
      <w:pPr>
        <w:autoSpaceDE w:val="0"/>
        <w:autoSpaceDN w:val="0"/>
        <w:adjustRightInd w:val="0"/>
        <w:spacing w:line="360" w:lineRule="auto"/>
        <w:jc w:val="left"/>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投  标  人：</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（盖单位公章）</w:t>
      </w:r>
    </w:p>
    <w:p>
      <w:pPr>
        <w:autoSpaceDE w:val="0"/>
        <w:autoSpaceDN w:val="0"/>
        <w:adjustRightInd w:val="0"/>
        <w:spacing w:line="360" w:lineRule="auto"/>
        <w:jc w:val="left"/>
        <w:rPr>
          <w:rFonts w:hint="eastAsia" w:ascii="仿宋" w:hAnsi="仿宋" w:eastAsia="仿宋" w:cs="仿宋"/>
          <w:color w:val="auto"/>
          <w:sz w:val="24"/>
          <w:szCs w:val="21"/>
          <w:highlight w:val="none"/>
        </w:rPr>
      </w:pPr>
      <w:r>
        <w:rPr>
          <w:rFonts w:hint="eastAsia" w:ascii="仿宋" w:hAnsi="仿宋" w:eastAsia="仿宋" w:cs="仿宋"/>
          <w:bCs/>
          <w:color w:val="auto"/>
          <w:sz w:val="24"/>
          <w:szCs w:val="21"/>
          <w:highlight w:val="none"/>
        </w:rPr>
        <w:t>法定代表人或委托代理人</w:t>
      </w:r>
      <w:r>
        <w:rPr>
          <w:rFonts w:hint="eastAsia" w:ascii="仿宋" w:hAnsi="仿宋" w:eastAsia="仿宋" w:cs="仿宋"/>
          <w:color w:val="auto"/>
          <w:sz w:val="24"/>
          <w:szCs w:val="21"/>
          <w:highlight w:val="none"/>
        </w:rPr>
        <w:t>：</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（签字或盖章）</w:t>
      </w:r>
    </w:p>
    <w:p>
      <w:pPr>
        <w:autoSpaceDE w:val="0"/>
        <w:autoSpaceDN w:val="0"/>
        <w:adjustRightInd w:val="0"/>
        <w:spacing w:line="360" w:lineRule="auto"/>
        <w:jc w:val="left"/>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年</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月</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日</w:t>
      </w:r>
    </w:p>
    <w:p>
      <w:pPr>
        <w:bidi w:val="0"/>
        <w:rPr>
          <w:rFonts w:hint="eastAsia"/>
          <w:highlight w:val="none"/>
          <w:lang w:val="zh-CN" w:eastAsia="zh-CN"/>
        </w:rPr>
      </w:pPr>
    </w:p>
    <w:p>
      <w:pPr>
        <w:bidi w:val="0"/>
        <w:rPr>
          <w:rFonts w:hint="eastAsia"/>
          <w:highlight w:val="none"/>
          <w:lang w:val="zh-CN" w:eastAsia="zh-CN"/>
        </w:rPr>
      </w:pPr>
    </w:p>
    <w:p>
      <w:pPr>
        <w:bidi w:val="0"/>
        <w:rPr>
          <w:rFonts w:hint="eastAsia"/>
          <w:highlight w:val="none"/>
          <w:lang w:val="zh-CN" w:eastAsia="zh-CN"/>
        </w:rPr>
      </w:pPr>
    </w:p>
    <w:p>
      <w:pPr>
        <w:rPr>
          <w:rFonts w:hint="eastAsia" w:ascii="仿宋" w:hAnsi="仿宋" w:eastAsia="仿宋" w:cs="仿宋"/>
          <w:b/>
          <w:color w:val="auto"/>
          <w:sz w:val="32"/>
          <w:szCs w:val="30"/>
          <w:highlight w:val="none"/>
        </w:rPr>
      </w:pPr>
      <w:r>
        <w:rPr>
          <w:rFonts w:hint="eastAsia" w:ascii="仿宋" w:hAnsi="仿宋" w:eastAsia="仿宋" w:cs="仿宋"/>
          <w:b/>
          <w:color w:val="auto"/>
          <w:sz w:val="32"/>
          <w:szCs w:val="30"/>
          <w:highlight w:val="none"/>
        </w:rPr>
        <w:br w:type="page"/>
      </w:r>
    </w:p>
    <w:p>
      <w:pPr>
        <w:pStyle w:val="3"/>
        <w:numPr>
          <w:ilvl w:val="0"/>
          <w:numId w:val="0"/>
        </w:numPr>
        <w:spacing w:before="0" w:line="360" w:lineRule="auto"/>
        <w:jc w:val="center"/>
        <w:rPr>
          <w:rFonts w:hint="eastAsia" w:ascii="仿宋" w:hAnsi="仿宋" w:eastAsia="仿宋" w:cs="仿宋"/>
          <w:b/>
          <w:color w:val="auto"/>
          <w:sz w:val="32"/>
          <w:szCs w:val="30"/>
          <w:highlight w:val="none"/>
        </w:rPr>
      </w:pPr>
      <w:r>
        <w:rPr>
          <w:rFonts w:hint="eastAsia" w:ascii="仿宋" w:hAnsi="仿宋" w:eastAsia="仿宋" w:cs="仿宋"/>
          <w:b/>
          <w:bCs/>
          <w:color w:val="auto"/>
          <w:kern w:val="2"/>
          <w:sz w:val="32"/>
          <w:szCs w:val="30"/>
          <w:highlight w:val="none"/>
          <w:lang w:val="en-US" w:eastAsia="zh-CN" w:bidi="ar-SA"/>
        </w:rPr>
        <w:t>二、</w:t>
      </w:r>
      <w:r>
        <w:rPr>
          <w:rFonts w:hint="eastAsia" w:ascii="仿宋" w:hAnsi="仿宋" w:eastAsia="仿宋" w:cs="仿宋"/>
          <w:b/>
          <w:color w:val="auto"/>
          <w:sz w:val="32"/>
          <w:szCs w:val="30"/>
          <w:highlight w:val="none"/>
          <w:lang w:val="en-US" w:eastAsia="zh-CN"/>
        </w:rPr>
        <w:t>开标一览表</w:t>
      </w:r>
    </w:p>
    <w:p>
      <w:pPr>
        <w:autoSpaceDE w:val="0"/>
        <w:autoSpaceDN w:val="0"/>
        <w:adjustRightInd w:val="0"/>
        <w:ind w:firstLine="480" w:firstLineChars="200"/>
        <w:rPr>
          <w:rFonts w:hint="eastAsia" w:ascii="仿宋" w:hAnsi="仿宋" w:eastAsia="仿宋" w:cs="仿宋"/>
          <w:bCs/>
          <w:color w:val="auto"/>
          <w:sz w:val="24"/>
          <w:highlight w:val="none"/>
        </w:rPr>
      </w:pPr>
    </w:p>
    <w:p>
      <w:pPr>
        <w:autoSpaceDE w:val="0"/>
        <w:autoSpaceDN w:val="0"/>
        <w:adjustRightIn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autoSpaceDE w:val="0"/>
        <w:autoSpaceDN w:val="0"/>
        <w:adjustRightIn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p>
    <w:tbl>
      <w:tblPr>
        <w:tblStyle w:val="22"/>
        <w:tblW w:w="4862" w:type="pct"/>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4"/>
        <w:gridCol w:w="2199"/>
        <w:gridCol w:w="2397"/>
        <w:gridCol w:w="2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959" w:type="pct"/>
            <w:noWrap w:val="0"/>
            <w:vAlign w:val="center"/>
          </w:tcPr>
          <w:p>
            <w:pPr>
              <w:pStyle w:val="11"/>
              <w:spacing w:line="360" w:lineRule="auto"/>
              <w:ind w:left="0" w:leftChars="0" w:firstLine="0" w:firstLineChars="0"/>
              <w:jc w:val="both"/>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投标人名称</w:t>
            </w:r>
            <w:r>
              <w:rPr>
                <w:rFonts w:hint="eastAsia" w:ascii="仿宋" w:hAnsi="仿宋" w:eastAsia="仿宋" w:cs="仿宋"/>
                <w:b/>
                <w:color w:val="auto"/>
                <w:sz w:val="24"/>
                <w:szCs w:val="28"/>
                <w:highlight w:val="none"/>
              </w:rPr>
              <w:t>（盖单位章）</w:t>
            </w:r>
          </w:p>
        </w:tc>
        <w:tc>
          <w:tcPr>
            <w:tcW w:w="1188" w:type="pct"/>
            <w:noWrap w:val="0"/>
            <w:vAlign w:val="center"/>
          </w:tcPr>
          <w:p>
            <w:pPr>
              <w:pStyle w:val="11"/>
              <w:spacing w:line="360" w:lineRule="auto"/>
              <w:ind w:left="0" w:leftChars="0" w:firstLine="0" w:firstLineChars="0"/>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投标总价（</w:t>
            </w:r>
            <w:r>
              <w:rPr>
                <w:rFonts w:hint="eastAsia" w:ascii="仿宋" w:hAnsi="仿宋" w:cs="仿宋"/>
                <w:b/>
                <w:color w:val="auto"/>
                <w:sz w:val="24"/>
                <w:highlight w:val="none"/>
                <w:lang w:val="en-US" w:eastAsia="zh-CN"/>
              </w:rPr>
              <w:t>元</w:t>
            </w:r>
            <w:r>
              <w:rPr>
                <w:rFonts w:hint="eastAsia" w:ascii="仿宋" w:hAnsi="仿宋" w:eastAsia="仿宋" w:cs="仿宋"/>
                <w:b/>
                <w:color w:val="auto"/>
                <w:sz w:val="24"/>
                <w:highlight w:val="none"/>
                <w:lang w:val="en-US" w:eastAsia="zh-CN"/>
              </w:rPr>
              <w:t>）</w:t>
            </w:r>
          </w:p>
        </w:tc>
        <w:tc>
          <w:tcPr>
            <w:tcW w:w="1295" w:type="pct"/>
            <w:noWrap w:val="0"/>
            <w:vAlign w:val="center"/>
          </w:tcPr>
          <w:p>
            <w:pPr>
              <w:pStyle w:val="11"/>
              <w:spacing w:line="360" w:lineRule="auto"/>
              <w:ind w:left="0" w:leftChars="0" w:firstLine="0" w:firstLineChars="0"/>
              <w:jc w:val="center"/>
              <w:rPr>
                <w:rFonts w:hint="eastAsia" w:ascii="仿宋" w:hAnsi="仿宋" w:eastAsia="仿宋" w:cs="仿宋"/>
                <w:b/>
                <w:color w:val="auto"/>
                <w:sz w:val="24"/>
                <w:highlight w:val="none"/>
                <w:lang w:val="en-US" w:eastAsia="zh-CN"/>
              </w:rPr>
            </w:pPr>
            <w:r>
              <w:rPr>
                <w:rFonts w:hint="eastAsia" w:ascii="仿宋" w:hAnsi="仿宋" w:cs="仿宋"/>
                <w:b/>
                <w:color w:val="auto"/>
                <w:sz w:val="24"/>
                <w:highlight w:val="none"/>
                <w:lang w:val="en-US" w:eastAsia="zh-CN"/>
              </w:rPr>
              <w:t>服务期</w:t>
            </w:r>
          </w:p>
        </w:tc>
        <w:tc>
          <w:tcPr>
            <w:tcW w:w="1557" w:type="pct"/>
            <w:noWrap w:val="0"/>
            <w:vAlign w:val="center"/>
          </w:tcPr>
          <w:p>
            <w:pPr>
              <w:pStyle w:val="11"/>
              <w:spacing w:line="360" w:lineRule="auto"/>
              <w:ind w:left="0" w:leftChars="0" w:firstLine="0" w:firstLineChars="0"/>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959" w:type="pct"/>
            <w:noWrap w:val="0"/>
            <w:vAlign w:val="center"/>
          </w:tcPr>
          <w:p>
            <w:pPr>
              <w:pStyle w:val="11"/>
              <w:spacing w:line="360" w:lineRule="auto"/>
              <w:jc w:val="center"/>
              <w:rPr>
                <w:rFonts w:hint="eastAsia" w:ascii="仿宋" w:hAnsi="仿宋" w:eastAsia="仿宋" w:cs="仿宋"/>
                <w:b/>
                <w:color w:val="auto"/>
                <w:sz w:val="24"/>
                <w:highlight w:val="none"/>
                <w:lang w:val="en-US" w:eastAsia="zh-CN"/>
              </w:rPr>
            </w:pPr>
          </w:p>
        </w:tc>
        <w:tc>
          <w:tcPr>
            <w:tcW w:w="1188" w:type="pct"/>
            <w:noWrap w:val="0"/>
            <w:vAlign w:val="center"/>
          </w:tcPr>
          <w:p>
            <w:pPr>
              <w:pStyle w:val="11"/>
              <w:spacing w:line="360" w:lineRule="auto"/>
              <w:jc w:val="left"/>
              <w:rPr>
                <w:rFonts w:hint="eastAsia" w:ascii="仿宋" w:hAnsi="仿宋" w:eastAsia="仿宋" w:cs="仿宋"/>
                <w:color w:val="auto"/>
                <w:sz w:val="24"/>
                <w:highlight w:val="none"/>
                <w:lang w:val="en-US" w:eastAsia="zh-CN"/>
              </w:rPr>
            </w:pPr>
          </w:p>
        </w:tc>
        <w:tc>
          <w:tcPr>
            <w:tcW w:w="1295" w:type="pct"/>
            <w:noWrap w:val="0"/>
            <w:vAlign w:val="center"/>
          </w:tcPr>
          <w:p>
            <w:pPr>
              <w:pStyle w:val="11"/>
              <w:spacing w:line="360" w:lineRule="auto"/>
              <w:jc w:val="center"/>
              <w:rPr>
                <w:rFonts w:hint="eastAsia" w:ascii="仿宋" w:hAnsi="仿宋" w:eastAsia="仿宋" w:cs="仿宋"/>
                <w:color w:val="auto"/>
                <w:sz w:val="24"/>
                <w:highlight w:val="none"/>
                <w:lang w:val="en-US" w:eastAsia="zh-CN"/>
              </w:rPr>
            </w:pPr>
          </w:p>
        </w:tc>
        <w:tc>
          <w:tcPr>
            <w:tcW w:w="1557" w:type="pct"/>
            <w:noWrap w:val="0"/>
            <w:vAlign w:val="center"/>
          </w:tcPr>
          <w:p>
            <w:pPr>
              <w:pStyle w:val="11"/>
              <w:spacing w:line="360" w:lineRule="auto"/>
              <w:jc w:val="center"/>
              <w:rPr>
                <w:rFonts w:hint="eastAsia" w:ascii="仿宋" w:hAnsi="仿宋" w:eastAsia="仿宋" w:cs="仿宋"/>
                <w:color w:val="auto"/>
                <w:sz w:val="24"/>
                <w:highlight w:val="none"/>
                <w:lang w:val="en-US" w:eastAsia="zh-CN"/>
              </w:rPr>
            </w:pPr>
          </w:p>
        </w:tc>
      </w:tr>
    </w:tbl>
    <w:p>
      <w:pPr>
        <w:autoSpaceDE w:val="0"/>
        <w:autoSpaceDN w:val="0"/>
        <w:adjustRightInd w:val="0"/>
        <w:spacing w:line="360" w:lineRule="auto"/>
        <w:ind w:firstLine="360" w:firstLineChars="150"/>
        <w:rPr>
          <w:rFonts w:hint="eastAsia" w:ascii="仿宋" w:hAnsi="仿宋" w:eastAsia="仿宋" w:cs="仿宋"/>
          <w:color w:val="auto"/>
          <w:sz w:val="24"/>
          <w:highlight w:val="none"/>
          <w:lang w:val="zh-CN"/>
        </w:rPr>
      </w:pPr>
    </w:p>
    <w:p>
      <w:pPr>
        <w:autoSpaceDE w:val="0"/>
        <w:autoSpaceDN w:val="0"/>
        <w:adjustRightInd w:val="0"/>
        <w:spacing w:line="360" w:lineRule="auto"/>
        <w:rPr>
          <w:rFonts w:hint="eastAsia" w:ascii="仿宋" w:hAnsi="仿宋" w:eastAsia="仿宋" w:cs="仿宋"/>
          <w:b/>
          <w:color w:val="auto"/>
          <w:sz w:val="24"/>
          <w:highlight w:val="none"/>
        </w:rPr>
      </w:pPr>
    </w:p>
    <w:p>
      <w:pPr>
        <w:autoSpaceDE w:val="0"/>
        <w:autoSpaceDN w:val="0"/>
        <w:adjustRightInd w:val="0"/>
        <w:spacing w:line="360" w:lineRule="auto"/>
        <w:jc w:val="left"/>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投  标  人：</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（盖单位公章）</w:t>
      </w:r>
    </w:p>
    <w:p>
      <w:pPr>
        <w:autoSpaceDE w:val="0"/>
        <w:autoSpaceDN w:val="0"/>
        <w:adjustRightInd w:val="0"/>
        <w:spacing w:line="360" w:lineRule="auto"/>
        <w:jc w:val="left"/>
        <w:rPr>
          <w:rFonts w:hint="eastAsia" w:ascii="仿宋" w:hAnsi="仿宋" w:eastAsia="仿宋" w:cs="仿宋"/>
          <w:color w:val="auto"/>
          <w:sz w:val="24"/>
          <w:szCs w:val="21"/>
          <w:highlight w:val="none"/>
        </w:rPr>
      </w:pPr>
      <w:r>
        <w:rPr>
          <w:rFonts w:hint="eastAsia" w:ascii="仿宋" w:hAnsi="仿宋" w:eastAsia="仿宋" w:cs="仿宋"/>
          <w:bCs/>
          <w:color w:val="auto"/>
          <w:sz w:val="24"/>
          <w:szCs w:val="21"/>
          <w:highlight w:val="none"/>
        </w:rPr>
        <w:t>法定代表人或委托代理人</w:t>
      </w:r>
      <w:r>
        <w:rPr>
          <w:rFonts w:hint="eastAsia" w:ascii="仿宋" w:hAnsi="仿宋" w:eastAsia="仿宋" w:cs="仿宋"/>
          <w:color w:val="auto"/>
          <w:sz w:val="24"/>
          <w:szCs w:val="21"/>
          <w:highlight w:val="none"/>
        </w:rPr>
        <w:t>：</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（签字或盖章）</w:t>
      </w:r>
    </w:p>
    <w:p>
      <w:pPr>
        <w:autoSpaceDE w:val="0"/>
        <w:autoSpaceDN w:val="0"/>
        <w:adjustRightInd w:val="0"/>
        <w:spacing w:line="360" w:lineRule="auto"/>
        <w:jc w:val="left"/>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年</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月</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日</w:t>
      </w:r>
    </w:p>
    <w:p>
      <w:pPr>
        <w:autoSpaceDE w:val="0"/>
        <w:autoSpaceDN w:val="0"/>
        <w:adjustRightInd w:val="0"/>
        <w:spacing w:line="360" w:lineRule="auto"/>
        <w:rPr>
          <w:rFonts w:hint="eastAsia" w:ascii="仿宋" w:hAnsi="仿宋" w:eastAsia="仿宋" w:cs="仿宋"/>
          <w:b/>
          <w:color w:val="auto"/>
          <w:sz w:val="24"/>
          <w:highlight w:val="none"/>
          <w:lang w:val="zh-CN"/>
        </w:rPr>
      </w:pPr>
    </w:p>
    <w:p>
      <w:pPr>
        <w:autoSpaceDE w:val="0"/>
        <w:autoSpaceDN w:val="0"/>
        <w:adjustRightInd w:val="0"/>
        <w:spacing w:line="360" w:lineRule="auto"/>
        <w:rPr>
          <w:rFonts w:hint="eastAsia" w:ascii="仿宋" w:hAnsi="仿宋" w:eastAsia="仿宋" w:cs="仿宋"/>
          <w:b/>
          <w:color w:val="auto"/>
          <w:sz w:val="24"/>
          <w:highlight w:val="none"/>
          <w:lang w:val="zh-CN"/>
        </w:rPr>
      </w:pPr>
    </w:p>
    <w:p>
      <w:pPr>
        <w:rPr>
          <w:rFonts w:hint="eastAsia" w:ascii="仿宋" w:hAnsi="仿宋" w:eastAsia="仿宋" w:cs="仿宋"/>
          <w:bCs/>
          <w:color w:val="auto"/>
          <w:sz w:val="24"/>
          <w:highlight w:val="none"/>
          <w:lang w:val="zh-CN"/>
        </w:rPr>
      </w:pPr>
      <w:r>
        <w:rPr>
          <w:rFonts w:hint="eastAsia" w:ascii="仿宋" w:hAnsi="仿宋" w:eastAsia="仿宋" w:cs="仿宋"/>
          <w:b/>
          <w:color w:val="auto"/>
          <w:sz w:val="32"/>
          <w:szCs w:val="30"/>
          <w:highlight w:val="none"/>
          <w:lang w:val="zh-CN" w:eastAsia="zh-CN"/>
        </w:rPr>
        <w:br w:type="page"/>
      </w:r>
    </w:p>
    <w:p>
      <w:pPr>
        <w:pStyle w:val="3"/>
        <w:numPr>
          <w:ilvl w:val="0"/>
          <w:numId w:val="0"/>
        </w:numPr>
        <w:spacing w:before="0" w:line="360" w:lineRule="auto"/>
        <w:ind w:left="0" w:leftChars="0" w:firstLine="642" w:firstLineChars="200"/>
        <w:jc w:val="center"/>
        <w:rPr>
          <w:rFonts w:hint="eastAsia" w:ascii="仿宋" w:hAnsi="仿宋" w:eastAsia="仿宋" w:cs="仿宋"/>
          <w:b/>
          <w:color w:val="auto"/>
          <w:sz w:val="32"/>
          <w:szCs w:val="30"/>
          <w:highlight w:val="none"/>
          <w:lang w:val="zh-CN"/>
        </w:rPr>
      </w:pPr>
      <w:r>
        <w:rPr>
          <w:rFonts w:hint="eastAsia" w:ascii="仿宋" w:hAnsi="仿宋" w:eastAsia="仿宋" w:cs="仿宋"/>
          <w:b/>
          <w:bCs/>
          <w:color w:val="auto"/>
          <w:kern w:val="2"/>
          <w:sz w:val="32"/>
          <w:szCs w:val="30"/>
          <w:highlight w:val="none"/>
          <w:lang w:val="zh-CN" w:eastAsia="zh-CN" w:bidi="ar-SA"/>
        </w:rPr>
        <w:t>三、</w:t>
      </w:r>
      <w:r>
        <w:rPr>
          <w:rFonts w:hint="eastAsia" w:ascii="仿宋" w:hAnsi="仿宋" w:eastAsia="仿宋" w:cs="仿宋"/>
          <w:b/>
          <w:color w:val="auto"/>
          <w:sz w:val="32"/>
          <w:szCs w:val="30"/>
          <w:highlight w:val="none"/>
          <w:lang w:val="zh-CN"/>
        </w:rPr>
        <w:t>法定代表人身份证明</w:t>
      </w:r>
    </w:p>
    <w:p>
      <w:pPr>
        <w:spacing w:line="360" w:lineRule="auto"/>
        <w:rPr>
          <w:rFonts w:hint="eastAsia" w:ascii="仿宋" w:hAnsi="仿宋" w:eastAsia="仿宋" w:cs="仿宋"/>
          <w:b/>
          <w:bCs/>
          <w:color w:val="auto"/>
          <w:sz w:val="24"/>
          <w:szCs w:val="24"/>
          <w:highlight w:val="none"/>
          <w:u w:val="single"/>
        </w:rPr>
      </w:pPr>
    </w:p>
    <w:p>
      <w:pPr>
        <w:tabs>
          <w:tab w:val="left" w:pos="1710"/>
        </w:tabs>
        <w:wordWrap w:val="0"/>
        <w:spacing w:line="480" w:lineRule="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投 标 人：</w:t>
      </w:r>
      <w:r>
        <w:rPr>
          <w:rFonts w:hint="eastAsia" w:ascii="仿宋" w:hAnsi="仿宋" w:eastAsia="仿宋" w:cs="仿宋"/>
          <w:color w:val="auto"/>
          <w:sz w:val="24"/>
          <w:szCs w:val="21"/>
          <w:highlight w:val="none"/>
          <w:u w:val="single"/>
        </w:rPr>
        <w:t xml:space="preserve">                                          </w:t>
      </w:r>
    </w:p>
    <w:p>
      <w:pPr>
        <w:tabs>
          <w:tab w:val="left" w:pos="1710"/>
        </w:tabs>
        <w:wordWrap w:val="0"/>
        <w:spacing w:line="480" w:lineRule="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单位性质:</w:t>
      </w:r>
      <w:r>
        <w:rPr>
          <w:rFonts w:hint="eastAsia" w:ascii="仿宋" w:hAnsi="仿宋" w:eastAsia="仿宋" w:cs="仿宋"/>
          <w:color w:val="auto"/>
          <w:sz w:val="24"/>
          <w:szCs w:val="21"/>
          <w:highlight w:val="none"/>
          <w:u w:val="single"/>
        </w:rPr>
        <w:t xml:space="preserve">                                            </w:t>
      </w:r>
    </w:p>
    <w:p>
      <w:pPr>
        <w:tabs>
          <w:tab w:val="left" w:pos="1710"/>
        </w:tabs>
        <w:wordWrap w:val="0"/>
        <w:spacing w:line="480" w:lineRule="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地    址：</w:t>
      </w:r>
      <w:r>
        <w:rPr>
          <w:rFonts w:hint="eastAsia" w:ascii="仿宋" w:hAnsi="仿宋" w:eastAsia="仿宋" w:cs="仿宋"/>
          <w:color w:val="auto"/>
          <w:sz w:val="24"/>
          <w:szCs w:val="21"/>
          <w:highlight w:val="none"/>
          <w:u w:val="single"/>
        </w:rPr>
        <w:t xml:space="preserve">                                           </w:t>
      </w:r>
    </w:p>
    <w:p>
      <w:pPr>
        <w:tabs>
          <w:tab w:val="left" w:pos="1710"/>
        </w:tabs>
        <w:wordWrap w:val="0"/>
        <w:spacing w:line="480" w:lineRule="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成立时间：</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年</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月</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日</w:t>
      </w:r>
    </w:p>
    <w:p>
      <w:pPr>
        <w:tabs>
          <w:tab w:val="left" w:pos="1710"/>
        </w:tabs>
        <w:wordWrap w:val="0"/>
        <w:spacing w:line="480" w:lineRule="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经营期限：</w:t>
      </w:r>
      <w:r>
        <w:rPr>
          <w:rFonts w:hint="eastAsia" w:ascii="仿宋" w:hAnsi="仿宋" w:eastAsia="仿宋" w:cs="仿宋"/>
          <w:color w:val="auto"/>
          <w:sz w:val="24"/>
          <w:szCs w:val="21"/>
          <w:highlight w:val="none"/>
          <w:u w:val="single"/>
        </w:rPr>
        <w:t xml:space="preserve">                                           </w:t>
      </w:r>
    </w:p>
    <w:p>
      <w:pPr>
        <w:tabs>
          <w:tab w:val="left" w:pos="1710"/>
        </w:tabs>
        <w:wordWrap w:val="0"/>
        <w:spacing w:line="480" w:lineRule="auto"/>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姓    名：</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性     别：</w:t>
      </w:r>
      <w:r>
        <w:rPr>
          <w:rFonts w:hint="eastAsia" w:ascii="仿宋" w:hAnsi="仿宋" w:eastAsia="仿宋" w:cs="仿宋"/>
          <w:color w:val="auto"/>
          <w:sz w:val="24"/>
          <w:szCs w:val="21"/>
          <w:highlight w:val="none"/>
          <w:u w:val="single"/>
        </w:rPr>
        <w:t xml:space="preserve">                </w:t>
      </w:r>
    </w:p>
    <w:p>
      <w:pPr>
        <w:tabs>
          <w:tab w:val="left" w:pos="1710"/>
        </w:tabs>
        <w:wordWrap w:val="0"/>
        <w:spacing w:line="480" w:lineRule="auto"/>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年    龄：</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职     务：</w:t>
      </w:r>
      <w:r>
        <w:rPr>
          <w:rFonts w:hint="eastAsia" w:ascii="仿宋" w:hAnsi="仿宋" w:eastAsia="仿宋" w:cs="仿宋"/>
          <w:color w:val="auto"/>
          <w:sz w:val="24"/>
          <w:szCs w:val="21"/>
          <w:highlight w:val="none"/>
          <w:u w:val="single"/>
        </w:rPr>
        <w:t xml:space="preserve">                </w:t>
      </w:r>
    </w:p>
    <w:p>
      <w:pPr>
        <w:tabs>
          <w:tab w:val="left" w:pos="1710"/>
        </w:tabs>
        <w:wordWrap w:val="0"/>
        <w:spacing w:line="480" w:lineRule="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系</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（投标人名称）的法定代表人。</w:t>
      </w:r>
    </w:p>
    <w:p>
      <w:pPr>
        <w:tabs>
          <w:tab w:val="left" w:pos="1710"/>
        </w:tabs>
        <w:wordWrap w:val="0"/>
        <w:spacing w:line="480" w:lineRule="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特此证明。</w:t>
      </w:r>
    </w:p>
    <w:p>
      <w:pPr>
        <w:wordWrap w:val="0"/>
        <w:spacing w:line="360" w:lineRule="auto"/>
        <w:rPr>
          <w:rFonts w:hint="eastAsia" w:ascii="仿宋" w:hAnsi="仿宋" w:eastAsia="仿宋" w:cs="仿宋"/>
          <w:color w:val="auto"/>
          <w:sz w:val="24"/>
          <w:szCs w:val="24"/>
          <w:highlight w:val="none"/>
        </w:rPr>
      </w:pPr>
    </w:p>
    <w:tbl>
      <w:tblPr>
        <w:tblStyle w:val="22"/>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720"/>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PrEx>
        <w:trPr>
          <w:trHeight w:val="3541" w:hRule="atLeast"/>
          <w:jc w:val="center"/>
        </w:trPr>
        <w:tc>
          <w:tcPr>
            <w:tcW w:w="6720" w:type="dxa"/>
            <w:noWrap w:val="0"/>
            <w:vAlign w:val="center"/>
          </w:tcPr>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附：法定代表人居民身份证复印件（正、反面）</w:t>
            </w:r>
          </w:p>
        </w:tc>
      </w:tr>
    </w:tbl>
    <w:p>
      <w:pPr>
        <w:wordWrap w:val="0"/>
        <w:spacing w:line="360" w:lineRule="auto"/>
        <w:rPr>
          <w:rFonts w:hint="eastAsia" w:ascii="仿宋" w:hAnsi="仿宋" w:eastAsia="仿宋" w:cs="仿宋"/>
          <w:color w:val="auto"/>
          <w:sz w:val="24"/>
          <w:szCs w:val="24"/>
          <w:highlight w:val="none"/>
        </w:rPr>
      </w:pPr>
    </w:p>
    <w:p>
      <w:pPr>
        <w:wordWrap w:val="0"/>
        <w:spacing w:line="48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  标  人：</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4"/>
          <w:highlight w:val="none"/>
        </w:rPr>
        <w:t>（盖单位公章）</w:t>
      </w:r>
    </w:p>
    <w:p>
      <w:pPr>
        <w:wordWrap w:val="0"/>
        <w:spacing w:line="48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4"/>
          <w:highlight w:val="none"/>
        </w:rPr>
        <w:t>（签字）</w:t>
      </w:r>
    </w:p>
    <w:p>
      <w:pPr>
        <w:wordWrap w:val="0"/>
        <w:spacing w:line="48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pStyle w:val="3"/>
        <w:numPr>
          <w:ilvl w:val="0"/>
          <w:numId w:val="0"/>
        </w:numPr>
        <w:spacing w:before="0" w:line="360" w:lineRule="auto"/>
        <w:ind w:left="0" w:leftChars="0" w:firstLine="642" w:firstLineChars="200"/>
        <w:jc w:val="center"/>
        <w:rPr>
          <w:rFonts w:hint="eastAsia" w:ascii="仿宋" w:hAnsi="仿宋" w:eastAsia="仿宋" w:cs="仿宋"/>
          <w:b/>
          <w:color w:val="auto"/>
          <w:sz w:val="32"/>
          <w:szCs w:val="30"/>
          <w:highlight w:val="none"/>
          <w:lang w:val="zh-CN" w:eastAsia="zh-CN"/>
        </w:rPr>
      </w:pPr>
      <w:bookmarkStart w:id="98" w:name="_Toc534639458"/>
      <w:bookmarkStart w:id="99" w:name="_Toc3572712"/>
      <w:bookmarkStart w:id="100" w:name="_Toc534639585"/>
      <w:r>
        <w:rPr>
          <w:rFonts w:hint="eastAsia" w:ascii="仿宋" w:hAnsi="仿宋" w:eastAsia="仿宋" w:cs="仿宋"/>
          <w:b/>
          <w:bCs/>
          <w:color w:val="auto"/>
          <w:kern w:val="2"/>
          <w:sz w:val="32"/>
          <w:szCs w:val="30"/>
          <w:highlight w:val="none"/>
          <w:lang w:val="zh-CN" w:eastAsia="zh-CN" w:bidi="ar-SA"/>
        </w:rPr>
        <w:t>四、</w:t>
      </w:r>
      <w:r>
        <w:rPr>
          <w:rFonts w:hint="eastAsia" w:ascii="仿宋" w:hAnsi="仿宋" w:eastAsia="仿宋" w:cs="仿宋"/>
          <w:b/>
          <w:color w:val="auto"/>
          <w:sz w:val="32"/>
          <w:szCs w:val="30"/>
          <w:highlight w:val="none"/>
          <w:lang w:val="zh-CN" w:eastAsia="zh-CN"/>
        </w:rPr>
        <w:t>授权委托书</w:t>
      </w:r>
      <w:bookmarkEnd w:id="98"/>
      <w:bookmarkEnd w:id="99"/>
      <w:bookmarkEnd w:id="100"/>
    </w:p>
    <w:p>
      <w:pPr>
        <w:adjustRightInd w:val="0"/>
        <w:snapToGrid w:val="0"/>
        <w:spacing w:line="480" w:lineRule="auto"/>
        <w:ind w:firstLine="480" w:firstLineChars="200"/>
        <w:rPr>
          <w:rFonts w:hint="eastAsia" w:ascii="仿宋" w:hAnsi="仿宋" w:eastAsia="仿宋" w:cs="仿宋"/>
          <w:color w:val="auto"/>
          <w:sz w:val="24"/>
          <w:szCs w:val="21"/>
          <w:highlight w:val="none"/>
        </w:rPr>
      </w:pPr>
    </w:p>
    <w:p>
      <w:pPr>
        <w:adjustRightInd w:val="0"/>
        <w:snapToGrid w:val="0"/>
        <w:spacing w:line="48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本人</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（姓名）系</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（投标人名称）的法定代表人，现委托</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（姓名）为我方代理人，代理人根据授权，以我方名义签署、澄清、说明、补正、递交、撤回、修改</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（项目名称）响应文件、签订合同和处理有关事宜，其法律后果由我方承担。</w:t>
      </w:r>
    </w:p>
    <w:p>
      <w:pPr>
        <w:adjustRightInd w:val="0"/>
        <w:snapToGrid w:val="0"/>
        <w:spacing w:line="48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委托期限：</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w:t>
      </w:r>
    </w:p>
    <w:p>
      <w:pPr>
        <w:wordWrap w:val="0"/>
        <w:spacing w:line="48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1"/>
          <w:highlight w:val="none"/>
        </w:rPr>
        <w:t>代理人无转委托权。</w:t>
      </w:r>
    </w:p>
    <w:p>
      <w:pPr>
        <w:wordWrap w:val="0"/>
        <w:spacing w:line="48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本表后附：法定代表人身份证明</w:t>
      </w:r>
    </w:p>
    <w:p>
      <w:pPr>
        <w:bidi w:val="0"/>
        <w:rPr>
          <w:rFonts w:hint="eastAsia" w:ascii="仿宋" w:hAnsi="仿宋" w:eastAsia="仿宋" w:cs="仿宋"/>
          <w:color w:val="auto"/>
          <w:highlight w:val="none"/>
        </w:rPr>
      </w:pPr>
      <w:bookmarkStart w:id="101" w:name="_Toc492451837"/>
      <w:bookmarkStart w:id="102" w:name="_Toc17185817"/>
      <w:bookmarkStart w:id="103" w:name="_Toc16666385"/>
      <w:bookmarkStart w:id="104" w:name="_Toc17185714"/>
      <w:bookmarkStart w:id="105" w:name="_Toc19097106"/>
      <w:bookmarkStart w:id="106" w:name="_Toc10824"/>
    </w:p>
    <w:tbl>
      <w:tblPr>
        <w:tblStyle w:val="22"/>
        <w:tblW w:w="0" w:type="auto"/>
        <w:tblInd w:w="1368"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904"/>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PrEx>
        <w:trPr>
          <w:trHeight w:val="3375" w:hRule="atLeast"/>
        </w:trPr>
        <w:tc>
          <w:tcPr>
            <w:tcW w:w="6904" w:type="dxa"/>
            <w:noWrap w:val="0"/>
            <w:vAlign w:val="center"/>
          </w:tcPr>
          <w:p>
            <w:pPr>
              <w:bidi w:val="0"/>
              <w:rPr>
                <w:rFonts w:hint="eastAsia" w:ascii="仿宋" w:hAnsi="仿宋" w:eastAsia="仿宋" w:cs="仿宋"/>
                <w:b/>
                <w:color w:val="auto"/>
                <w:szCs w:val="24"/>
                <w:highlight w:val="none"/>
              </w:rPr>
            </w:pPr>
            <w:bookmarkStart w:id="107" w:name="_Toc22892142"/>
            <w:r>
              <w:rPr>
                <w:rFonts w:hint="eastAsia"/>
                <w:highlight w:val="none"/>
              </w:rPr>
              <w:t>附：委托代理人居民身份证复印件（正、反面）</w:t>
            </w:r>
            <w:bookmarkEnd w:id="107"/>
          </w:p>
        </w:tc>
      </w:tr>
    </w:tbl>
    <w:p>
      <w:pPr>
        <w:bidi w:val="0"/>
        <w:rPr>
          <w:rFonts w:hint="eastAsia" w:ascii="仿宋" w:hAnsi="仿宋" w:eastAsia="仿宋" w:cs="仿宋"/>
          <w:color w:val="auto"/>
          <w:highlight w:val="none"/>
        </w:rPr>
      </w:pPr>
    </w:p>
    <w:bookmarkEnd w:id="101"/>
    <w:bookmarkEnd w:id="102"/>
    <w:bookmarkEnd w:id="103"/>
    <w:bookmarkEnd w:id="104"/>
    <w:bookmarkEnd w:id="105"/>
    <w:bookmarkEnd w:id="106"/>
    <w:p>
      <w:pPr>
        <w:tabs>
          <w:tab w:val="left" w:pos="0"/>
        </w:tabs>
        <w:wordWrap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  标  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（盖单位章）</w:t>
      </w:r>
    </w:p>
    <w:p>
      <w:pPr>
        <w:tabs>
          <w:tab w:val="left" w:pos="0"/>
        </w:tabs>
        <w:wordWrap w:val="0"/>
        <w:spacing w:line="360" w:lineRule="auto"/>
        <w:rPr>
          <w:rFonts w:hint="eastAsia" w:ascii="仿宋" w:hAnsi="仿宋" w:eastAsia="仿宋" w:cs="仿宋"/>
          <w:color w:val="auto"/>
          <w:sz w:val="24"/>
          <w:szCs w:val="24"/>
          <w:highlight w:val="none"/>
        </w:rPr>
      </w:pPr>
      <w:bookmarkStart w:id="108" w:name="_Toc16528278"/>
      <w:bookmarkStart w:id="109" w:name="_Toc16528401"/>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（签字）</w:t>
      </w:r>
      <w:bookmarkEnd w:id="108"/>
      <w:bookmarkEnd w:id="109"/>
    </w:p>
    <w:p>
      <w:pPr>
        <w:tabs>
          <w:tab w:val="left" w:pos="0"/>
        </w:tabs>
        <w:wordWrap w:val="0"/>
        <w:spacing w:line="360" w:lineRule="auto"/>
        <w:rPr>
          <w:rFonts w:hint="eastAsia" w:ascii="仿宋" w:hAnsi="仿宋" w:eastAsia="仿宋" w:cs="仿宋"/>
          <w:color w:val="auto"/>
          <w:sz w:val="24"/>
          <w:szCs w:val="24"/>
          <w:highlight w:val="none"/>
        </w:rPr>
      </w:pPr>
      <w:bookmarkStart w:id="110" w:name="_Toc16528279"/>
      <w:bookmarkStart w:id="111" w:name="_Toc16528402"/>
      <w:r>
        <w:rPr>
          <w:rFonts w:hint="eastAsia" w:ascii="仿宋" w:hAnsi="仿宋" w:eastAsia="仿宋" w:cs="仿宋"/>
          <w:color w:val="auto"/>
          <w:sz w:val="24"/>
          <w:szCs w:val="24"/>
          <w:highlight w:val="none"/>
        </w:rPr>
        <w:t>身份证号码：</w:t>
      </w:r>
      <w:bookmarkEnd w:id="110"/>
      <w:bookmarkEnd w:id="111"/>
      <w:r>
        <w:rPr>
          <w:rFonts w:hint="eastAsia" w:ascii="仿宋" w:hAnsi="仿宋" w:eastAsia="仿宋" w:cs="仿宋"/>
          <w:color w:val="auto"/>
          <w:sz w:val="24"/>
          <w:szCs w:val="24"/>
          <w:highlight w:val="none"/>
          <w:u w:val="single"/>
        </w:rPr>
        <w:t xml:space="preserve">                                   </w:t>
      </w:r>
    </w:p>
    <w:p>
      <w:pPr>
        <w:tabs>
          <w:tab w:val="left" w:pos="0"/>
        </w:tabs>
        <w:wordWrap w:val="0"/>
        <w:spacing w:line="360" w:lineRule="auto"/>
        <w:rPr>
          <w:rFonts w:hint="eastAsia" w:ascii="仿宋" w:hAnsi="仿宋" w:eastAsia="仿宋" w:cs="仿宋"/>
          <w:color w:val="auto"/>
          <w:sz w:val="24"/>
          <w:szCs w:val="24"/>
          <w:highlight w:val="none"/>
        </w:rPr>
      </w:pPr>
      <w:bookmarkStart w:id="112" w:name="_Toc16528403"/>
      <w:bookmarkStart w:id="113" w:name="_Toc16528280"/>
      <w:r>
        <w:rPr>
          <w:rFonts w:hint="eastAsia" w:ascii="仿宋" w:hAnsi="仿宋" w:eastAsia="仿宋" w:cs="仿宋"/>
          <w:color w:val="auto"/>
          <w:sz w:val="24"/>
          <w:szCs w:val="24"/>
          <w:highlight w:val="none"/>
        </w:rPr>
        <w:t>委托代理人：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（签字）</w:t>
      </w:r>
      <w:bookmarkEnd w:id="112"/>
      <w:bookmarkEnd w:id="113"/>
    </w:p>
    <w:p>
      <w:pPr>
        <w:tabs>
          <w:tab w:val="left" w:pos="0"/>
        </w:tabs>
        <w:wordWrap w:val="0"/>
        <w:spacing w:line="360" w:lineRule="auto"/>
        <w:rPr>
          <w:rFonts w:hint="eastAsia" w:ascii="仿宋" w:hAnsi="仿宋" w:eastAsia="仿宋" w:cs="仿宋"/>
          <w:color w:val="auto"/>
          <w:sz w:val="24"/>
          <w:szCs w:val="24"/>
          <w:highlight w:val="none"/>
          <w:u w:val="single"/>
        </w:rPr>
      </w:pPr>
      <w:bookmarkStart w:id="114" w:name="_Toc16528404"/>
      <w:bookmarkStart w:id="115" w:name="_Toc16528281"/>
      <w:r>
        <w:rPr>
          <w:rFonts w:hint="eastAsia" w:ascii="仿宋" w:hAnsi="仿宋" w:eastAsia="仿宋" w:cs="仿宋"/>
          <w:color w:val="auto"/>
          <w:sz w:val="24"/>
          <w:szCs w:val="24"/>
          <w:highlight w:val="none"/>
        </w:rPr>
        <w:t>身份证号码：</w:t>
      </w:r>
      <w:bookmarkEnd w:id="114"/>
      <w:bookmarkEnd w:id="115"/>
      <w:r>
        <w:rPr>
          <w:rFonts w:hint="eastAsia" w:ascii="仿宋" w:hAnsi="仿宋" w:eastAsia="仿宋" w:cs="仿宋"/>
          <w:color w:val="auto"/>
          <w:sz w:val="24"/>
          <w:szCs w:val="24"/>
          <w:highlight w:val="none"/>
          <w:u w:val="single"/>
        </w:rPr>
        <w:t xml:space="preserve">                                    </w:t>
      </w:r>
    </w:p>
    <w:p>
      <w:pPr>
        <w:tabs>
          <w:tab w:val="left" w:pos="0"/>
        </w:tabs>
        <w:wordWrap w:val="0"/>
        <w:spacing w:line="360" w:lineRule="auto"/>
        <w:rPr>
          <w:rFonts w:hint="eastAsia" w:ascii="仿宋" w:hAnsi="仿宋" w:eastAsia="仿宋" w:cs="仿宋"/>
          <w:color w:val="auto"/>
          <w:sz w:val="24"/>
          <w:szCs w:val="24"/>
          <w:highlight w:val="none"/>
        </w:rPr>
      </w:pPr>
      <w:bookmarkStart w:id="116" w:name="_Toc16528405"/>
      <w:bookmarkStart w:id="117" w:name="_Toc16528282"/>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bookmarkEnd w:id="116"/>
      <w:bookmarkEnd w:id="117"/>
    </w:p>
    <w:p>
      <w:pPr>
        <w:autoSpaceDE w:val="0"/>
        <w:autoSpaceDN w:val="0"/>
        <w:adjustRightInd w:val="0"/>
        <w:spacing w:line="400" w:lineRule="exact"/>
        <w:jc w:val="left"/>
        <w:rPr>
          <w:rFonts w:hint="eastAsia" w:ascii="仿宋" w:hAnsi="仿宋" w:eastAsia="仿宋" w:cs="仿宋"/>
          <w:bCs/>
          <w:color w:val="auto"/>
          <w:sz w:val="24"/>
          <w:highlight w:val="none"/>
          <w:lang w:val="zh-CN"/>
        </w:rPr>
      </w:pPr>
      <w:bookmarkStart w:id="118" w:name="_Toc17185823"/>
      <w:bookmarkStart w:id="119" w:name="_Toc22892143"/>
      <w:bookmarkStart w:id="120" w:name="_Toc17185720"/>
      <w:bookmarkStart w:id="121" w:name="_Toc19097112"/>
      <w:r>
        <w:rPr>
          <w:rFonts w:hint="eastAsia" w:ascii="仿宋" w:hAnsi="仿宋" w:eastAsia="仿宋" w:cs="仿宋"/>
          <w:bCs/>
          <w:color w:val="auto"/>
          <w:sz w:val="32"/>
          <w:szCs w:val="18"/>
          <w:highlight w:val="none"/>
          <w:lang w:val="zh-CN"/>
        </w:rPr>
        <w:br w:type="page"/>
      </w:r>
      <w:bookmarkEnd w:id="118"/>
      <w:bookmarkEnd w:id="119"/>
      <w:bookmarkEnd w:id="120"/>
      <w:bookmarkEnd w:id="121"/>
    </w:p>
    <w:p>
      <w:pPr>
        <w:pStyle w:val="3"/>
        <w:numPr>
          <w:ilvl w:val="0"/>
          <w:numId w:val="0"/>
        </w:numPr>
        <w:spacing w:before="0" w:line="360" w:lineRule="auto"/>
        <w:ind w:left="0" w:leftChars="0" w:firstLine="642" w:firstLineChars="200"/>
        <w:jc w:val="center"/>
        <w:rPr>
          <w:rFonts w:hint="eastAsia" w:ascii="仿宋" w:hAnsi="仿宋" w:eastAsia="仿宋" w:cs="仿宋"/>
          <w:b/>
          <w:color w:val="auto"/>
          <w:sz w:val="32"/>
          <w:szCs w:val="30"/>
          <w:highlight w:val="none"/>
          <w:lang w:val="zh-CN" w:eastAsia="zh-CN"/>
        </w:rPr>
      </w:pPr>
      <w:bookmarkStart w:id="122" w:name="_Toc2160"/>
      <w:r>
        <w:rPr>
          <w:rFonts w:hint="eastAsia" w:ascii="仿宋" w:hAnsi="仿宋" w:eastAsia="仿宋" w:cs="仿宋"/>
          <w:b/>
          <w:bCs/>
          <w:color w:val="auto"/>
          <w:kern w:val="2"/>
          <w:sz w:val="32"/>
          <w:szCs w:val="30"/>
          <w:highlight w:val="none"/>
          <w:lang w:val="zh-CN" w:eastAsia="zh-CN" w:bidi="ar-SA"/>
        </w:rPr>
        <w:t>五、</w:t>
      </w:r>
      <w:r>
        <w:rPr>
          <w:rFonts w:hint="eastAsia" w:ascii="仿宋" w:hAnsi="仿宋" w:eastAsia="仿宋" w:cs="仿宋"/>
          <w:b/>
          <w:color w:val="auto"/>
          <w:sz w:val="32"/>
          <w:szCs w:val="30"/>
          <w:highlight w:val="none"/>
          <w:lang w:val="en-US" w:eastAsia="zh-CN"/>
        </w:rPr>
        <w:t>投标</w:t>
      </w:r>
      <w:r>
        <w:rPr>
          <w:rFonts w:hint="eastAsia" w:ascii="仿宋" w:hAnsi="仿宋" w:eastAsia="仿宋" w:cs="仿宋"/>
          <w:b/>
          <w:color w:val="auto"/>
          <w:sz w:val="32"/>
          <w:szCs w:val="30"/>
          <w:highlight w:val="none"/>
          <w:lang w:val="zh-CN" w:eastAsia="zh-CN"/>
        </w:rPr>
        <w:t>保证金</w:t>
      </w: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{招标人名称}</w:t>
      </w:r>
    </w:p>
    <w:p>
      <w:pPr>
        <w:rPr>
          <w:rFonts w:hint="eastAsia" w:ascii="仿宋" w:hAnsi="仿宋" w:eastAsia="仿宋" w:cs="仿宋"/>
          <w:color w:val="auto"/>
          <w:sz w:val="24"/>
          <w:szCs w:val="24"/>
          <w:highlight w:val="none"/>
        </w:rPr>
      </w:pPr>
    </w:p>
    <w:p>
      <w:pPr>
        <w:spacing w:line="360" w:lineRule="auto"/>
        <w:ind w:firstLine="960" w:firstLineChars="4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          （投标人名称）（以下称“投标人”）于     年    月    日递交了      {招标项目名称、项目编号} 的</w:t>
      </w:r>
      <w:r>
        <w:rPr>
          <w:rFonts w:hint="eastAsia" w:ascii="仿宋" w:hAnsi="仿宋" w:eastAsia="仿宋" w:cs="仿宋"/>
          <w:color w:val="auto"/>
          <w:sz w:val="24"/>
          <w:szCs w:val="24"/>
          <w:highlight w:val="none"/>
          <w:u w:val="single"/>
          <w:lang w:eastAsia="zh-CN"/>
        </w:rPr>
        <w:t>投标保证金</w:t>
      </w:r>
      <w:r>
        <w:rPr>
          <w:rFonts w:hint="eastAsia" w:ascii="仿宋" w:hAnsi="仿宋" w:eastAsia="仿宋" w:cs="仿宋"/>
          <w:color w:val="auto"/>
          <w:sz w:val="24"/>
          <w:szCs w:val="24"/>
          <w:highlight w:val="none"/>
          <w:u w:val="single"/>
        </w:rPr>
        <w:t>人民币          元；</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如果我方在响应有效期内收到你方的中标通知后，不能或拒绝按投标须知的要求签署合同协议书；你方有权没收我方的</w:t>
      </w:r>
      <w:r>
        <w:rPr>
          <w:rFonts w:hint="eastAsia" w:ascii="仿宋" w:hAnsi="仿宋" w:eastAsia="仿宋" w:cs="仿宋"/>
          <w:color w:val="auto"/>
          <w:sz w:val="24"/>
          <w:szCs w:val="24"/>
          <w:highlight w:val="none"/>
          <w:lang w:eastAsia="zh-CN"/>
        </w:rPr>
        <w:t>投标保证金</w:t>
      </w:r>
      <w:r>
        <w:rPr>
          <w:rFonts w:hint="eastAsia" w:ascii="仿宋" w:hAnsi="仿宋" w:eastAsia="仿宋" w:cs="仿宋"/>
          <w:color w:val="auto"/>
          <w:sz w:val="24"/>
          <w:szCs w:val="24"/>
          <w:highlight w:val="none"/>
        </w:rPr>
        <w:t>。</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我方同意</w:t>
      </w:r>
      <w:r>
        <w:rPr>
          <w:rFonts w:hint="eastAsia" w:cs="仿宋"/>
          <w:color w:val="auto"/>
          <w:sz w:val="24"/>
          <w:szCs w:val="24"/>
          <w:highlight w:val="none"/>
          <w:lang w:eastAsia="zh-CN"/>
        </w:rPr>
        <w:t>招标文件</w:t>
      </w:r>
      <w:r>
        <w:rPr>
          <w:rFonts w:hint="eastAsia" w:ascii="仿宋" w:hAnsi="仿宋" w:eastAsia="仿宋" w:cs="仿宋"/>
          <w:color w:val="auto"/>
          <w:sz w:val="24"/>
          <w:szCs w:val="24"/>
          <w:highlight w:val="none"/>
        </w:rPr>
        <w:t>有关</w:t>
      </w:r>
      <w:r>
        <w:rPr>
          <w:rFonts w:hint="eastAsia" w:ascii="仿宋" w:hAnsi="仿宋" w:eastAsia="仿宋" w:cs="仿宋"/>
          <w:color w:val="auto"/>
          <w:sz w:val="24"/>
          <w:szCs w:val="24"/>
          <w:highlight w:val="none"/>
          <w:lang w:eastAsia="zh-CN"/>
        </w:rPr>
        <w:t>投标保证金</w:t>
      </w:r>
      <w:r>
        <w:rPr>
          <w:rFonts w:hint="eastAsia" w:ascii="仿宋" w:hAnsi="仿宋" w:eastAsia="仿宋" w:cs="仿宋"/>
          <w:color w:val="auto"/>
          <w:sz w:val="24"/>
          <w:szCs w:val="24"/>
          <w:highlight w:val="none"/>
        </w:rPr>
        <w:t>规定，并对我方有约束力。</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lang w:eastAsia="zh-CN"/>
        </w:rPr>
        <w:t>保证金</w:t>
      </w:r>
      <w:r>
        <w:rPr>
          <w:rFonts w:hint="eastAsia" w:ascii="仿宋" w:hAnsi="仿宋" w:eastAsia="仿宋" w:cs="仿宋"/>
          <w:color w:val="auto"/>
          <w:sz w:val="24"/>
          <w:szCs w:val="24"/>
          <w:highlight w:val="none"/>
        </w:rPr>
        <w:t>递交凭证</w:t>
      </w:r>
      <w:r>
        <w:rPr>
          <w:rFonts w:hint="eastAsia" w:cs="仿宋"/>
          <w:color w:val="auto"/>
          <w:sz w:val="24"/>
          <w:szCs w:val="24"/>
          <w:highlight w:val="none"/>
          <w:lang w:eastAsia="zh-CN"/>
        </w:rPr>
        <w:t>（</w:t>
      </w:r>
      <w:r>
        <w:rPr>
          <w:rFonts w:hint="eastAsia" w:cs="仿宋"/>
          <w:color w:val="auto"/>
          <w:sz w:val="24"/>
          <w:szCs w:val="24"/>
          <w:highlight w:val="none"/>
          <w:lang w:val="en-US" w:eastAsia="zh-CN"/>
        </w:rPr>
        <w:t>或投标保函</w:t>
      </w:r>
      <w:r>
        <w:rPr>
          <w:rFonts w:hint="eastAsia" w:cs="仿宋"/>
          <w:color w:val="auto"/>
          <w:sz w:val="24"/>
          <w:szCs w:val="24"/>
          <w:highlight w:val="none"/>
          <w:lang w:eastAsia="zh-CN"/>
        </w:rPr>
        <w:t>）</w:t>
      </w:r>
      <w:r>
        <w:rPr>
          <w:rFonts w:hint="eastAsia" w:ascii="仿宋" w:hAnsi="仿宋" w:eastAsia="仿宋" w:cs="仿宋"/>
          <w:color w:val="auto"/>
          <w:sz w:val="24"/>
          <w:szCs w:val="24"/>
          <w:highlight w:val="none"/>
        </w:rPr>
        <w:t>：</w:t>
      </w:r>
    </w:p>
    <w:p>
      <w:pPr>
        <w:rPr>
          <w:rFonts w:hint="eastAsia" w:ascii="仿宋" w:hAnsi="仿宋" w:eastAsia="仿宋" w:cs="仿宋"/>
          <w:color w:val="auto"/>
          <w:sz w:val="24"/>
          <w:szCs w:val="24"/>
          <w:highlight w:val="none"/>
        </w:rPr>
      </w:pPr>
    </w:p>
    <w:tbl>
      <w:tblPr>
        <w:tblStyle w:val="22"/>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11" w:hRule="atLeast"/>
          <w:jc w:val="center"/>
        </w:trPr>
        <w:tc>
          <w:tcPr>
            <w:tcW w:w="8738" w:type="dxa"/>
            <w:noWrap w:val="0"/>
            <w:vAlign w:val="top"/>
          </w:tcPr>
          <w:p>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附:银行进账单</w:t>
            </w: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91" w:hRule="atLeast"/>
          <w:jc w:val="center"/>
        </w:trPr>
        <w:tc>
          <w:tcPr>
            <w:tcW w:w="8738" w:type="dxa"/>
            <w:noWrap w:val="0"/>
            <w:vAlign w:val="top"/>
          </w:tcPr>
          <w:p>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附：开户银行证明</w:t>
            </w:r>
          </w:p>
          <w:p>
            <w:pPr>
              <w:rPr>
                <w:rFonts w:hint="eastAsia" w:ascii="仿宋" w:hAnsi="仿宋" w:eastAsia="仿宋" w:cs="仿宋"/>
                <w:color w:val="auto"/>
                <w:sz w:val="24"/>
                <w:szCs w:val="24"/>
                <w:highlight w:val="none"/>
              </w:rPr>
            </w:pPr>
          </w:p>
          <w:p>
            <w:pPr>
              <w:rPr>
                <w:rFonts w:hint="eastAsia" w:ascii="仿宋" w:hAnsi="仿宋" w:eastAsia="仿宋" w:cs="仿宋"/>
                <w:b/>
                <w:color w:val="auto"/>
                <w:sz w:val="24"/>
                <w:szCs w:val="24"/>
                <w:highlight w:val="none"/>
              </w:rPr>
            </w:pPr>
          </w:p>
        </w:tc>
      </w:tr>
    </w:tbl>
    <w:p>
      <w:pPr>
        <w:rPr>
          <w:rFonts w:hint="eastAsia" w:ascii="仿宋" w:hAnsi="仿宋" w:eastAsia="仿宋" w:cs="仿宋"/>
          <w:color w:val="auto"/>
          <w:sz w:val="24"/>
          <w:szCs w:val="24"/>
          <w:highlight w:val="none"/>
        </w:rPr>
      </w:pPr>
    </w:p>
    <w:p>
      <w:pPr>
        <w:ind w:left="0" w:leftChars="0" w:firstLine="0" w:firstLineChars="0"/>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autoSpaceDE w:val="0"/>
        <w:autoSpaceDN w:val="0"/>
        <w:adjustRightIn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  标  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（盖单位公章）</w:t>
      </w:r>
    </w:p>
    <w:p>
      <w:pPr>
        <w:autoSpaceDE w:val="0"/>
        <w:autoSpaceDN w:val="0"/>
        <w:adjustRightIn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法定代表人或委托代理人：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（签字或盖章）</w:t>
      </w:r>
    </w:p>
    <w:p>
      <w:pPr>
        <w:autoSpaceDE w:val="0"/>
        <w:autoSpaceDN w:val="0"/>
        <w:adjustRightInd w:val="0"/>
        <w:spacing w:line="360" w:lineRule="auto"/>
        <w:jc w:val="left"/>
        <w:rPr>
          <w:rFonts w:hint="eastAsia" w:ascii="宋体" w:hAnsi="宋体" w:cs="宋体"/>
          <w:szCs w:val="21"/>
          <w:highlight w:val="non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spacing w:line="360" w:lineRule="auto"/>
        <w:jc w:val="center"/>
        <w:rPr>
          <w:rFonts w:hint="eastAsia" w:ascii="宋体" w:hAnsi="宋体" w:cs="宋体"/>
          <w:b/>
          <w:sz w:val="24"/>
          <w:szCs w:val="28"/>
          <w:highlight w:val="none"/>
        </w:rPr>
        <w:sectPr>
          <w:footerReference r:id="rId7" w:type="default"/>
          <w:type w:val="continuous"/>
          <w:pgSz w:w="11906" w:h="16838"/>
          <w:pgMar w:top="1361" w:right="1304" w:bottom="1247" w:left="1304" w:header="680" w:footer="680" w:gutter="0"/>
          <w:cols w:space="720" w:num="1"/>
          <w:docGrid w:linePitch="312" w:charSpace="0"/>
        </w:sectPr>
      </w:pPr>
    </w:p>
    <w:p>
      <w:pPr>
        <w:autoSpaceDE w:val="0"/>
        <w:autoSpaceDN w:val="0"/>
        <w:adjustRightInd w:val="0"/>
        <w:spacing w:line="400" w:lineRule="exact"/>
        <w:jc w:val="center"/>
        <w:outlineLvl w:val="1"/>
        <w:rPr>
          <w:rFonts w:hint="eastAsia" w:ascii="宋体" w:hAnsi="宋体" w:cs="宋体"/>
          <w:b/>
          <w:sz w:val="28"/>
          <w:szCs w:val="28"/>
          <w:highlight w:val="none"/>
          <w:lang w:val="en-US" w:eastAsia="zh-CN"/>
        </w:rPr>
      </w:pPr>
    </w:p>
    <w:p>
      <w:pPr>
        <w:autoSpaceDE w:val="0"/>
        <w:autoSpaceDN w:val="0"/>
        <w:adjustRightInd w:val="0"/>
        <w:spacing w:line="400" w:lineRule="exact"/>
        <w:jc w:val="both"/>
        <w:outlineLvl w:val="1"/>
        <w:rPr>
          <w:rFonts w:hint="eastAsia" w:ascii="宋体" w:hAnsi="宋体" w:cs="宋体"/>
          <w:b/>
          <w:sz w:val="28"/>
          <w:szCs w:val="28"/>
          <w:highlight w:val="none"/>
          <w:lang w:val="en-US" w:eastAsia="zh-CN"/>
        </w:rPr>
      </w:pPr>
    </w:p>
    <w:p>
      <w:pPr>
        <w:autoSpaceDE w:val="0"/>
        <w:autoSpaceDN w:val="0"/>
        <w:adjustRightInd w:val="0"/>
        <w:spacing w:line="400" w:lineRule="exact"/>
        <w:jc w:val="center"/>
        <w:outlineLvl w:val="1"/>
        <w:rPr>
          <w:rFonts w:hint="eastAsia" w:ascii="宋体" w:hAnsi="宋体" w:cs="宋体"/>
          <w:b/>
          <w:sz w:val="28"/>
          <w:szCs w:val="28"/>
          <w:highlight w:val="none"/>
        </w:rPr>
      </w:pPr>
      <w:r>
        <w:rPr>
          <w:rFonts w:hint="eastAsia" w:ascii="宋体" w:hAnsi="宋体" w:cs="宋体"/>
          <w:b/>
          <w:sz w:val="28"/>
          <w:szCs w:val="28"/>
          <w:highlight w:val="none"/>
          <w:lang w:val="en-US" w:eastAsia="zh-CN"/>
        </w:rPr>
        <w:t>六</w:t>
      </w:r>
      <w:r>
        <w:rPr>
          <w:rFonts w:hint="eastAsia" w:ascii="宋体" w:hAnsi="宋体" w:cs="宋体"/>
          <w:b/>
          <w:sz w:val="28"/>
          <w:szCs w:val="28"/>
          <w:highlight w:val="none"/>
        </w:rPr>
        <w:t>、商务条款偏离表（格式）</w:t>
      </w:r>
    </w:p>
    <w:p>
      <w:pPr>
        <w:spacing w:line="360" w:lineRule="auto"/>
        <w:jc w:val="center"/>
        <w:rPr>
          <w:rFonts w:hint="eastAsia" w:ascii="宋体" w:hAnsi="宋体" w:cs="宋体"/>
          <w:b/>
          <w:sz w:val="24"/>
          <w:szCs w:val="28"/>
          <w:highlight w:val="none"/>
        </w:rPr>
      </w:pPr>
    </w:p>
    <w:p>
      <w:pPr>
        <w:spacing w:line="360" w:lineRule="auto"/>
        <w:jc w:val="center"/>
        <w:rPr>
          <w:rFonts w:hint="eastAsia" w:ascii="宋体" w:hAnsi="宋体" w:cs="宋体"/>
          <w:b/>
          <w:sz w:val="24"/>
          <w:szCs w:val="28"/>
          <w:highlight w:val="none"/>
        </w:rPr>
      </w:pPr>
    </w:p>
    <w:p>
      <w:pPr>
        <w:pStyle w:val="12"/>
        <w:spacing w:line="360" w:lineRule="auto"/>
        <w:ind w:firstLine="420" w:firstLineChars="200"/>
        <w:rPr>
          <w:rFonts w:hint="eastAsia" w:ascii="宋体" w:hAnsi="宋体" w:cs="宋体"/>
          <w:sz w:val="21"/>
          <w:szCs w:val="21"/>
          <w:highlight w:val="none"/>
        </w:rPr>
      </w:pPr>
      <w:bookmarkStart w:id="123" w:name="_Toc8589"/>
      <w:r>
        <w:rPr>
          <w:rFonts w:hint="eastAsia" w:ascii="宋体" w:hAnsi="宋体" w:cs="宋体"/>
          <w:sz w:val="21"/>
          <w:szCs w:val="21"/>
          <w:highlight w:val="none"/>
        </w:rPr>
        <w:t>项目名称：                              项目编号：</w:t>
      </w:r>
      <w:bookmarkEnd w:id="123"/>
    </w:p>
    <w:tbl>
      <w:tblPr>
        <w:tblStyle w:val="22"/>
        <w:tblW w:w="9355"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260"/>
        <w:gridCol w:w="3060"/>
        <w:gridCol w:w="2182"/>
        <w:gridCol w:w="1095"/>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noWrap w:val="0"/>
            <w:vAlign w:val="center"/>
          </w:tcPr>
          <w:p>
            <w:pPr>
              <w:spacing w:line="360" w:lineRule="auto"/>
              <w:jc w:val="center"/>
              <w:outlineLvl w:val="0"/>
              <w:rPr>
                <w:rFonts w:hint="eastAsia" w:ascii="宋体" w:hAnsi="宋体" w:cs="宋体"/>
                <w:szCs w:val="21"/>
                <w:highlight w:val="none"/>
              </w:rPr>
            </w:pPr>
            <w:bookmarkStart w:id="124" w:name="_Toc8126"/>
            <w:r>
              <w:rPr>
                <w:rFonts w:hint="eastAsia" w:ascii="宋体" w:hAnsi="宋体" w:cs="宋体"/>
                <w:szCs w:val="21"/>
                <w:highlight w:val="none"/>
              </w:rPr>
              <w:t>序号</w:t>
            </w:r>
            <w:bookmarkEnd w:id="124"/>
          </w:p>
        </w:tc>
        <w:tc>
          <w:tcPr>
            <w:tcW w:w="1260" w:type="dxa"/>
            <w:noWrap w:val="0"/>
            <w:vAlign w:val="center"/>
          </w:tcPr>
          <w:p>
            <w:pPr>
              <w:spacing w:line="360" w:lineRule="auto"/>
              <w:jc w:val="center"/>
              <w:outlineLvl w:val="0"/>
              <w:rPr>
                <w:rFonts w:hint="eastAsia" w:ascii="宋体" w:hAnsi="宋体" w:cs="宋体"/>
                <w:szCs w:val="21"/>
                <w:highlight w:val="none"/>
              </w:rPr>
            </w:pPr>
            <w:bookmarkStart w:id="125" w:name="_Toc19661"/>
            <w:r>
              <w:rPr>
                <w:rFonts w:hint="eastAsia" w:ascii="宋体" w:hAnsi="宋体" w:cs="宋体"/>
                <w:szCs w:val="21"/>
                <w:highlight w:val="none"/>
              </w:rPr>
              <w:t>名称</w:t>
            </w:r>
            <w:bookmarkEnd w:id="125"/>
          </w:p>
        </w:tc>
        <w:tc>
          <w:tcPr>
            <w:tcW w:w="3060" w:type="dxa"/>
            <w:noWrap w:val="0"/>
            <w:vAlign w:val="center"/>
          </w:tcPr>
          <w:p>
            <w:pPr>
              <w:spacing w:line="360" w:lineRule="auto"/>
              <w:jc w:val="center"/>
              <w:outlineLvl w:val="0"/>
              <w:rPr>
                <w:rFonts w:hint="eastAsia" w:ascii="宋体" w:hAnsi="宋体" w:cs="宋体"/>
                <w:szCs w:val="21"/>
                <w:highlight w:val="none"/>
              </w:rPr>
            </w:pPr>
            <w:bookmarkStart w:id="126" w:name="_Toc4139"/>
            <w:r>
              <w:rPr>
                <w:rFonts w:hint="eastAsia" w:ascii="宋体" w:hAnsi="宋体" w:cs="宋体"/>
                <w:szCs w:val="21"/>
                <w:highlight w:val="none"/>
              </w:rPr>
              <w:t>招标文件规定的商务条款</w:t>
            </w:r>
            <w:bookmarkEnd w:id="126"/>
          </w:p>
        </w:tc>
        <w:tc>
          <w:tcPr>
            <w:tcW w:w="2182" w:type="dxa"/>
            <w:noWrap w:val="0"/>
            <w:vAlign w:val="center"/>
          </w:tcPr>
          <w:p>
            <w:pPr>
              <w:spacing w:line="360" w:lineRule="auto"/>
              <w:jc w:val="center"/>
              <w:outlineLvl w:val="0"/>
              <w:rPr>
                <w:rFonts w:hint="eastAsia" w:ascii="宋体" w:hAnsi="宋体" w:cs="宋体"/>
                <w:szCs w:val="21"/>
                <w:highlight w:val="none"/>
              </w:rPr>
            </w:pPr>
            <w:bookmarkStart w:id="127" w:name="_Toc25119"/>
            <w:r>
              <w:rPr>
                <w:rFonts w:hint="eastAsia" w:ascii="宋体" w:hAnsi="宋体" w:cs="宋体"/>
                <w:szCs w:val="21"/>
                <w:highlight w:val="none"/>
              </w:rPr>
              <w:t>投标文件对应的商务条款</w:t>
            </w:r>
            <w:bookmarkEnd w:id="127"/>
          </w:p>
        </w:tc>
        <w:tc>
          <w:tcPr>
            <w:tcW w:w="1095" w:type="dxa"/>
            <w:noWrap w:val="0"/>
            <w:vAlign w:val="center"/>
          </w:tcPr>
          <w:p>
            <w:pPr>
              <w:spacing w:line="360" w:lineRule="auto"/>
              <w:jc w:val="center"/>
              <w:outlineLvl w:val="0"/>
              <w:rPr>
                <w:rFonts w:hint="eastAsia" w:ascii="宋体" w:hAnsi="宋体" w:cs="宋体"/>
                <w:szCs w:val="21"/>
                <w:highlight w:val="none"/>
              </w:rPr>
            </w:pPr>
            <w:bookmarkStart w:id="128" w:name="_Toc25865"/>
            <w:r>
              <w:rPr>
                <w:rFonts w:hint="eastAsia" w:ascii="宋体" w:hAnsi="宋体" w:cs="宋体"/>
                <w:szCs w:val="21"/>
                <w:highlight w:val="none"/>
              </w:rPr>
              <w:t>是否偏离</w:t>
            </w:r>
            <w:bookmarkEnd w:id="128"/>
          </w:p>
        </w:tc>
        <w:tc>
          <w:tcPr>
            <w:tcW w:w="1290" w:type="dxa"/>
            <w:noWrap w:val="0"/>
            <w:vAlign w:val="center"/>
          </w:tcPr>
          <w:p>
            <w:pPr>
              <w:spacing w:line="360" w:lineRule="auto"/>
              <w:jc w:val="center"/>
              <w:outlineLvl w:val="0"/>
              <w:rPr>
                <w:rFonts w:hint="eastAsia" w:ascii="宋体" w:hAnsi="宋体" w:cs="宋体"/>
                <w:szCs w:val="21"/>
                <w:highlight w:val="none"/>
              </w:rPr>
            </w:pPr>
            <w:bookmarkStart w:id="129" w:name="_Toc19245"/>
            <w:r>
              <w:rPr>
                <w:rFonts w:hint="eastAsia" w:ascii="宋体" w:hAnsi="宋体" w:cs="宋体"/>
                <w:szCs w:val="21"/>
                <w:highlight w:val="none"/>
              </w:rPr>
              <w:t>备注</w:t>
            </w:r>
            <w:bookmarkEnd w:id="1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noWrap w:val="0"/>
            <w:vAlign w:val="top"/>
          </w:tcPr>
          <w:p>
            <w:pPr>
              <w:spacing w:line="360" w:lineRule="auto"/>
              <w:rPr>
                <w:rFonts w:hint="eastAsia" w:ascii="宋体" w:hAnsi="宋体" w:cs="宋体"/>
                <w:szCs w:val="21"/>
                <w:highlight w:val="none"/>
              </w:rPr>
            </w:pPr>
          </w:p>
        </w:tc>
        <w:tc>
          <w:tcPr>
            <w:tcW w:w="1260" w:type="dxa"/>
            <w:noWrap w:val="0"/>
            <w:vAlign w:val="top"/>
          </w:tcPr>
          <w:p>
            <w:pPr>
              <w:spacing w:line="360" w:lineRule="auto"/>
              <w:rPr>
                <w:rFonts w:hint="eastAsia" w:ascii="宋体" w:hAnsi="宋体" w:cs="宋体"/>
                <w:szCs w:val="21"/>
                <w:highlight w:val="none"/>
              </w:rPr>
            </w:pPr>
          </w:p>
        </w:tc>
        <w:tc>
          <w:tcPr>
            <w:tcW w:w="3060" w:type="dxa"/>
            <w:noWrap w:val="0"/>
            <w:vAlign w:val="top"/>
          </w:tcPr>
          <w:p>
            <w:pPr>
              <w:spacing w:line="360" w:lineRule="auto"/>
              <w:rPr>
                <w:rFonts w:hint="eastAsia" w:ascii="宋体" w:hAnsi="宋体" w:cs="宋体"/>
                <w:szCs w:val="21"/>
                <w:highlight w:val="none"/>
              </w:rPr>
            </w:pPr>
          </w:p>
        </w:tc>
        <w:tc>
          <w:tcPr>
            <w:tcW w:w="2182" w:type="dxa"/>
            <w:noWrap w:val="0"/>
            <w:vAlign w:val="top"/>
          </w:tcPr>
          <w:p>
            <w:pPr>
              <w:spacing w:line="360" w:lineRule="auto"/>
              <w:rPr>
                <w:rFonts w:hint="eastAsia" w:ascii="宋体" w:hAnsi="宋体" w:cs="宋体"/>
                <w:szCs w:val="21"/>
                <w:highlight w:val="none"/>
              </w:rPr>
            </w:pPr>
          </w:p>
        </w:tc>
        <w:tc>
          <w:tcPr>
            <w:tcW w:w="1095" w:type="dxa"/>
            <w:noWrap w:val="0"/>
            <w:vAlign w:val="top"/>
          </w:tcPr>
          <w:p>
            <w:pPr>
              <w:spacing w:line="360" w:lineRule="auto"/>
              <w:rPr>
                <w:rFonts w:hint="eastAsia" w:ascii="宋体" w:hAnsi="宋体" w:cs="宋体"/>
                <w:szCs w:val="21"/>
                <w:highlight w:val="none"/>
              </w:rPr>
            </w:pPr>
          </w:p>
        </w:tc>
        <w:tc>
          <w:tcPr>
            <w:tcW w:w="1290" w:type="dxa"/>
            <w:noWrap w:val="0"/>
            <w:vAlign w:val="top"/>
          </w:tcPr>
          <w:p>
            <w:pPr>
              <w:spacing w:line="360" w:lineRule="auto"/>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noWrap w:val="0"/>
            <w:vAlign w:val="top"/>
          </w:tcPr>
          <w:p>
            <w:pPr>
              <w:spacing w:line="360" w:lineRule="auto"/>
              <w:rPr>
                <w:rFonts w:hint="eastAsia" w:ascii="宋体" w:hAnsi="宋体" w:cs="宋体"/>
                <w:sz w:val="24"/>
                <w:highlight w:val="none"/>
              </w:rPr>
            </w:pPr>
          </w:p>
        </w:tc>
        <w:tc>
          <w:tcPr>
            <w:tcW w:w="1260" w:type="dxa"/>
            <w:noWrap w:val="0"/>
            <w:vAlign w:val="top"/>
          </w:tcPr>
          <w:p>
            <w:pPr>
              <w:spacing w:line="360" w:lineRule="auto"/>
              <w:rPr>
                <w:rFonts w:hint="eastAsia" w:ascii="宋体" w:hAnsi="宋体" w:cs="宋体"/>
                <w:sz w:val="24"/>
                <w:highlight w:val="none"/>
              </w:rPr>
            </w:pPr>
          </w:p>
        </w:tc>
        <w:tc>
          <w:tcPr>
            <w:tcW w:w="3060" w:type="dxa"/>
            <w:noWrap w:val="0"/>
            <w:vAlign w:val="top"/>
          </w:tcPr>
          <w:p>
            <w:pPr>
              <w:spacing w:line="360" w:lineRule="auto"/>
              <w:rPr>
                <w:rFonts w:hint="eastAsia" w:ascii="宋体" w:hAnsi="宋体" w:cs="宋体"/>
                <w:sz w:val="24"/>
                <w:highlight w:val="none"/>
              </w:rPr>
            </w:pPr>
          </w:p>
        </w:tc>
        <w:tc>
          <w:tcPr>
            <w:tcW w:w="2182" w:type="dxa"/>
            <w:noWrap w:val="0"/>
            <w:vAlign w:val="top"/>
          </w:tcPr>
          <w:p>
            <w:pPr>
              <w:spacing w:line="360" w:lineRule="auto"/>
              <w:rPr>
                <w:rFonts w:hint="eastAsia" w:ascii="宋体" w:hAnsi="宋体" w:cs="宋体"/>
                <w:sz w:val="24"/>
                <w:highlight w:val="none"/>
              </w:rPr>
            </w:pPr>
          </w:p>
        </w:tc>
        <w:tc>
          <w:tcPr>
            <w:tcW w:w="1095" w:type="dxa"/>
            <w:noWrap w:val="0"/>
            <w:vAlign w:val="top"/>
          </w:tcPr>
          <w:p>
            <w:pPr>
              <w:spacing w:line="360" w:lineRule="auto"/>
              <w:rPr>
                <w:rFonts w:hint="eastAsia" w:ascii="宋体" w:hAnsi="宋体" w:cs="宋体"/>
                <w:sz w:val="24"/>
                <w:highlight w:val="none"/>
              </w:rPr>
            </w:pPr>
          </w:p>
        </w:tc>
        <w:tc>
          <w:tcPr>
            <w:tcW w:w="1290" w:type="dxa"/>
            <w:noWrap w:val="0"/>
            <w:vAlign w:val="top"/>
          </w:tcPr>
          <w:p>
            <w:pPr>
              <w:spacing w:line="360" w:lineRule="auto"/>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468" w:type="dxa"/>
            <w:noWrap w:val="0"/>
            <w:vAlign w:val="top"/>
          </w:tcPr>
          <w:p>
            <w:pPr>
              <w:spacing w:line="360" w:lineRule="auto"/>
              <w:rPr>
                <w:rFonts w:hint="eastAsia" w:ascii="宋体" w:hAnsi="宋体" w:cs="宋体"/>
                <w:sz w:val="24"/>
                <w:highlight w:val="none"/>
              </w:rPr>
            </w:pPr>
          </w:p>
        </w:tc>
        <w:tc>
          <w:tcPr>
            <w:tcW w:w="1260" w:type="dxa"/>
            <w:noWrap w:val="0"/>
            <w:vAlign w:val="top"/>
          </w:tcPr>
          <w:p>
            <w:pPr>
              <w:spacing w:line="360" w:lineRule="auto"/>
              <w:rPr>
                <w:rFonts w:hint="eastAsia" w:ascii="宋体" w:hAnsi="宋体" w:cs="宋体"/>
                <w:sz w:val="24"/>
                <w:highlight w:val="none"/>
              </w:rPr>
            </w:pPr>
          </w:p>
        </w:tc>
        <w:tc>
          <w:tcPr>
            <w:tcW w:w="3060" w:type="dxa"/>
            <w:noWrap w:val="0"/>
            <w:vAlign w:val="top"/>
          </w:tcPr>
          <w:p>
            <w:pPr>
              <w:spacing w:line="360" w:lineRule="auto"/>
              <w:rPr>
                <w:rFonts w:hint="eastAsia" w:ascii="宋体" w:hAnsi="宋体" w:cs="宋体"/>
                <w:sz w:val="24"/>
                <w:highlight w:val="none"/>
              </w:rPr>
            </w:pPr>
          </w:p>
        </w:tc>
        <w:tc>
          <w:tcPr>
            <w:tcW w:w="2182" w:type="dxa"/>
            <w:noWrap w:val="0"/>
            <w:vAlign w:val="top"/>
          </w:tcPr>
          <w:p>
            <w:pPr>
              <w:spacing w:line="360" w:lineRule="auto"/>
              <w:rPr>
                <w:rFonts w:hint="eastAsia" w:ascii="宋体" w:hAnsi="宋体" w:cs="宋体"/>
                <w:sz w:val="24"/>
                <w:highlight w:val="none"/>
              </w:rPr>
            </w:pPr>
          </w:p>
        </w:tc>
        <w:tc>
          <w:tcPr>
            <w:tcW w:w="1095" w:type="dxa"/>
            <w:noWrap w:val="0"/>
            <w:vAlign w:val="top"/>
          </w:tcPr>
          <w:p>
            <w:pPr>
              <w:spacing w:line="360" w:lineRule="auto"/>
              <w:rPr>
                <w:rFonts w:hint="eastAsia" w:ascii="宋体" w:hAnsi="宋体" w:cs="宋体"/>
                <w:sz w:val="24"/>
                <w:highlight w:val="none"/>
              </w:rPr>
            </w:pPr>
          </w:p>
        </w:tc>
        <w:tc>
          <w:tcPr>
            <w:tcW w:w="1290" w:type="dxa"/>
            <w:noWrap w:val="0"/>
            <w:vAlign w:val="top"/>
          </w:tcPr>
          <w:p>
            <w:pPr>
              <w:spacing w:line="360" w:lineRule="auto"/>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noWrap w:val="0"/>
            <w:vAlign w:val="top"/>
          </w:tcPr>
          <w:p>
            <w:pPr>
              <w:spacing w:line="360" w:lineRule="auto"/>
              <w:rPr>
                <w:rFonts w:hint="eastAsia" w:ascii="宋体" w:hAnsi="宋体" w:cs="宋体"/>
                <w:sz w:val="24"/>
                <w:highlight w:val="none"/>
              </w:rPr>
            </w:pPr>
          </w:p>
        </w:tc>
        <w:tc>
          <w:tcPr>
            <w:tcW w:w="1260" w:type="dxa"/>
            <w:noWrap w:val="0"/>
            <w:vAlign w:val="top"/>
          </w:tcPr>
          <w:p>
            <w:pPr>
              <w:spacing w:line="360" w:lineRule="auto"/>
              <w:rPr>
                <w:rFonts w:hint="eastAsia" w:ascii="宋体" w:hAnsi="宋体" w:cs="宋体"/>
                <w:sz w:val="24"/>
                <w:highlight w:val="none"/>
              </w:rPr>
            </w:pPr>
          </w:p>
        </w:tc>
        <w:tc>
          <w:tcPr>
            <w:tcW w:w="3060" w:type="dxa"/>
            <w:noWrap w:val="0"/>
            <w:vAlign w:val="top"/>
          </w:tcPr>
          <w:p>
            <w:pPr>
              <w:spacing w:line="360" w:lineRule="auto"/>
              <w:rPr>
                <w:rFonts w:hint="eastAsia" w:ascii="宋体" w:hAnsi="宋体" w:cs="宋体"/>
                <w:sz w:val="24"/>
                <w:highlight w:val="none"/>
              </w:rPr>
            </w:pPr>
          </w:p>
        </w:tc>
        <w:tc>
          <w:tcPr>
            <w:tcW w:w="2182" w:type="dxa"/>
            <w:noWrap w:val="0"/>
            <w:vAlign w:val="top"/>
          </w:tcPr>
          <w:p>
            <w:pPr>
              <w:spacing w:line="360" w:lineRule="auto"/>
              <w:rPr>
                <w:rFonts w:hint="eastAsia" w:ascii="宋体" w:hAnsi="宋体" w:cs="宋体"/>
                <w:sz w:val="24"/>
                <w:highlight w:val="none"/>
              </w:rPr>
            </w:pPr>
          </w:p>
        </w:tc>
        <w:tc>
          <w:tcPr>
            <w:tcW w:w="1095" w:type="dxa"/>
            <w:noWrap w:val="0"/>
            <w:vAlign w:val="top"/>
          </w:tcPr>
          <w:p>
            <w:pPr>
              <w:spacing w:line="360" w:lineRule="auto"/>
              <w:rPr>
                <w:rFonts w:hint="eastAsia" w:ascii="宋体" w:hAnsi="宋体" w:cs="宋体"/>
                <w:sz w:val="24"/>
                <w:highlight w:val="none"/>
              </w:rPr>
            </w:pPr>
          </w:p>
        </w:tc>
        <w:tc>
          <w:tcPr>
            <w:tcW w:w="1290" w:type="dxa"/>
            <w:noWrap w:val="0"/>
            <w:vAlign w:val="top"/>
          </w:tcPr>
          <w:p>
            <w:pPr>
              <w:spacing w:line="360" w:lineRule="auto"/>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noWrap w:val="0"/>
            <w:vAlign w:val="top"/>
          </w:tcPr>
          <w:p>
            <w:pPr>
              <w:spacing w:line="360" w:lineRule="auto"/>
              <w:rPr>
                <w:rFonts w:hint="eastAsia" w:ascii="宋体" w:hAnsi="宋体" w:cs="宋体"/>
                <w:sz w:val="24"/>
                <w:highlight w:val="none"/>
              </w:rPr>
            </w:pPr>
          </w:p>
        </w:tc>
        <w:tc>
          <w:tcPr>
            <w:tcW w:w="1260" w:type="dxa"/>
            <w:noWrap w:val="0"/>
            <w:vAlign w:val="top"/>
          </w:tcPr>
          <w:p>
            <w:pPr>
              <w:spacing w:line="360" w:lineRule="auto"/>
              <w:rPr>
                <w:rFonts w:hint="eastAsia" w:ascii="宋体" w:hAnsi="宋体" w:cs="宋体"/>
                <w:sz w:val="24"/>
                <w:highlight w:val="none"/>
              </w:rPr>
            </w:pPr>
          </w:p>
        </w:tc>
        <w:tc>
          <w:tcPr>
            <w:tcW w:w="3060" w:type="dxa"/>
            <w:noWrap w:val="0"/>
            <w:vAlign w:val="top"/>
          </w:tcPr>
          <w:p>
            <w:pPr>
              <w:spacing w:line="360" w:lineRule="auto"/>
              <w:rPr>
                <w:rFonts w:hint="eastAsia" w:ascii="宋体" w:hAnsi="宋体" w:cs="宋体"/>
                <w:sz w:val="24"/>
                <w:highlight w:val="none"/>
              </w:rPr>
            </w:pPr>
          </w:p>
        </w:tc>
        <w:tc>
          <w:tcPr>
            <w:tcW w:w="2182" w:type="dxa"/>
            <w:noWrap w:val="0"/>
            <w:vAlign w:val="top"/>
          </w:tcPr>
          <w:p>
            <w:pPr>
              <w:spacing w:line="360" w:lineRule="auto"/>
              <w:rPr>
                <w:rFonts w:hint="eastAsia" w:ascii="宋体" w:hAnsi="宋体" w:cs="宋体"/>
                <w:sz w:val="24"/>
                <w:highlight w:val="none"/>
              </w:rPr>
            </w:pPr>
          </w:p>
        </w:tc>
        <w:tc>
          <w:tcPr>
            <w:tcW w:w="1095" w:type="dxa"/>
            <w:noWrap w:val="0"/>
            <w:vAlign w:val="top"/>
          </w:tcPr>
          <w:p>
            <w:pPr>
              <w:spacing w:line="360" w:lineRule="auto"/>
              <w:rPr>
                <w:rFonts w:hint="eastAsia" w:ascii="宋体" w:hAnsi="宋体" w:cs="宋体"/>
                <w:sz w:val="24"/>
                <w:highlight w:val="none"/>
              </w:rPr>
            </w:pPr>
          </w:p>
        </w:tc>
        <w:tc>
          <w:tcPr>
            <w:tcW w:w="1290" w:type="dxa"/>
            <w:noWrap w:val="0"/>
            <w:vAlign w:val="top"/>
          </w:tcPr>
          <w:p>
            <w:pPr>
              <w:spacing w:line="360" w:lineRule="auto"/>
              <w:rPr>
                <w:rFonts w:hint="eastAsia" w:ascii="宋体" w:hAnsi="宋体" w:cs="宋体"/>
                <w:sz w:val="24"/>
                <w:highlight w:val="none"/>
              </w:rPr>
            </w:pPr>
          </w:p>
        </w:tc>
      </w:tr>
    </w:tbl>
    <w:p>
      <w:pPr>
        <w:spacing w:line="360" w:lineRule="auto"/>
        <w:rPr>
          <w:rFonts w:hint="eastAsia" w:ascii="宋体" w:hAnsi="宋体" w:cs="宋体"/>
          <w:szCs w:val="21"/>
          <w:highlight w:val="none"/>
        </w:rPr>
      </w:pPr>
    </w:p>
    <w:p>
      <w:pPr>
        <w:spacing w:line="360" w:lineRule="auto"/>
        <w:rPr>
          <w:rFonts w:hint="eastAsia" w:ascii="宋体" w:hAnsi="宋体" w:cs="宋体"/>
          <w:szCs w:val="21"/>
          <w:highlight w:val="none"/>
        </w:rPr>
      </w:pPr>
      <w:r>
        <w:rPr>
          <w:rFonts w:hint="eastAsia" w:ascii="宋体" w:hAnsi="宋体" w:cs="宋体"/>
          <w:szCs w:val="21"/>
          <w:highlight w:val="none"/>
        </w:rPr>
        <w:t>说明：</w:t>
      </w:r>
    </w:p>
    <w:p>
      <w:pPr>
        <w:pStyle w:val="8"/>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1.商务条款均应根据投标文件对招标文件的偏离情况相对应地填列。</w:t>
      </w:r>
    </w:p>
    <w:p>
      <w:pPr>
        <w:pStyle w:val="8"/>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2.商务条款主要填列付款条件、</w:t>
      </w:r>
      <w:r>
        <w:rPr>
          <w:rFonts w:hint="eastAsia" w:ascii="宋体" w:hAnsi="宋体" w:eastAsia="宋体" w:cs="宋体"/>
          <w:sz w:val="21"/>
          <w:szCs w:val="21"/>
          <w:highlight w:val="none"/>
          <w:lang w:val="zh-CN"/>
        </w:rPr>
        <w:t>合同履行期限</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zh-CN"/>
        </w:rPr>
        <w:t>服务地点</w:t>
      </w:r>
      <w:r>
        <w:rPr>
          <w:rFonts w:hint="eastAsia" w:ascii="宋体" w:hAnsi="宋体" w:eastAsia="宋体" w:cs="宋体"/>
          <w:sz w:val="21"/>
          <w:szCs w:val="21"/>
          <w:highlight w:val="none"/>
        </w:rPr>
        <w:t>等重要条款方面的偏离情况。</w:t>
      </w:r>
    </w:p>
    <w:p>
      <w:pPr>
        <w:pStyle w:val="8"/>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3.表内如果填列不全，可另外附页说明并按规定签字和加盖公章。             </w:t>
      </w:r>
    </w:p>
    <w:p>
      <w:pPr>
        <w:pStyle w:val="8"/>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bookmarkStart w:id="130" w:name="_Toc139"/>
      <w:r>
        <w:rPr>
          <w:rFonts w:hint="eastAsia" w:ascii="宋体" w:hAnsi="宋体" w:eastAsia="宋体" w:cs="宋体"/>
          <w:sz w:val="21"/>
          <w:szCs w:val="21"/>
          <w:highlight w:val="none"/>
        </w:rPr>
        <w:t>4.采购人要求投标人认真填写本表。</w:t>
      </w:r>
      <w:bookmarkEnd w:id="130"/>
    </w:p>
    <w:p>
      <w:pPr>
        <w:pStyle w:val="8"/>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bookmarkStart w:id="131" w:name="_Toc19398"/>
      <w:r>
        <w:rPr>
          <w:rFonts w:hint="eastAsia" w:ascii="宋体" w:hAnsi="宋体" w:eastAsia="宋体" w:cs="宋体"/>
          <w:sz w:val="21"/>
          <w:szCs w:val="21"/>
          <w:highlight w:val="none"/>
        </w:rPr>
        <w:t>5.此表可根据需要自行拉长加宽。</w:t>
      </w:r>
      <w:bookmarkEnd w:id="131"/>
    </w:p>
    <w:p>
      <w:pPr>
        <w:spacing w:line="360" w:lineRule="auto"/>
        <w:ind w:firstLine="480" w:firstLineChars="200"/>
        <w:rPr>
          <w:rFonts w:hint="eastAsia" w:ascii="宋体" w:hAnsi="宋体" w:cs="宋体"/>
          <w:szCs w:val="21"/>
          <w:highlight w:val="none"/>
        </w:rPr>
      </w:pPr>
    </w:p>
    <w:p>
      <w:pPr>
        <w:spacing w:line="360" w:lineRule="auto"/>
        <w:ind w:firstLine="480" w:firstLineChars="200"/>
        <w:rPr>
          <w:rFonts w:hint="eastAsia" w:ascii="宋体" w:hAnsi="宋体" w:cs="宋体"/>
          <w:szCs w:val="21"/>
          <w:highlight w:val="none"/>
        </w:rPr>
      </w:pPr>
      <w:r>
        <w:rPr>
          <w:rFonts w:hint="eastAsia" w:ascii="宋体" w:hAnsi="宋体" w:cs="宋体"/>
          <w:szCs w:val="21"/>
          <w:highlight w:val="none"/>
        </w:rPr>
        <w:t>投标单位全称（公章）：</w:t>
      </w:r>
    </w:p>
    <w:p>
      <w:pPr>
        <w:spacing w:line="360" w:lineRule="auto"/>
        <w:ind w:firstLine="480" w:firstLineChars="200"/>
        <w:rPr>
          <w:rFonts w:hint="eastAsia" w:ascii="宋体" w:hAnsi="宋体" w:cs="宋体"/>
          <w:szCs w:val="21"/>
          <w:highlight w:val="none"/>
        </w:rPr>
      </w:pPr>
      <w:r>
        <w:rPr>
          <w:rFonts w:hint="eastAsia" w:ascii="宋体" w:hAnsi="宋体" w:cs="宋体"/>
          <w:szCs w:val="21"/>
          <w:highlight w:val="none"/>
        </w:rPr>
        <w:t>单位负责人或授权代理人（签字）：</w:t>
      </w:r>
    </w:p>
    <w:p>
      <w:pPr>
        <w:spacing w:line="360" w:lineRule="auto"/>
        <w:ind w:firstLine="480" w:firstLineChars="200"/>
        <w:rPr>
          <w:rFonts w:hint="eastAsia" w:ascii="宋体" w:hAnsi="宋体" w:cs="宋体"/>
          <w:szCs w:val="21"/>
          <w:highlight w:val="none"/>
        </w:rPr>
      </w:pPr>
      <w:r>
        <w:rPr>
          <w:rFonts w:hint="eastAsia" w:ascii="宋体" w:hAnsi="宋体" w:cs="宋体"/>
          <w:szCs w:val="21"/>
          <w:highlight w:val="none"/>
        </w:rPr>
        <w:t>时间：     年  月  日</w:t>
      </w:r>
    </w:p>
    <w:p>
      <w:pPr>
        <w:spacing w:line="360" w:lineRule="auto"/>
        <w:ind w:firstLine="480" w:firstLineChars="200"/>
        <w:rPr>
          <w:rFonts w:hint="eastAsia" w:ascii="宋体" w:hAnsi="宋体" w:cs="宋体"/>
          <w:szCs w:val="21"/>
          <w:highlight w:val="none"/>
        </w:rPr>
      </w:pPr>
    </w:p>
    <w:p>
      <w:pPr>
        <w:spacing w:line="360" w:lineRule="auto"/>
        <w:ind w:firstLine="480" w:firstLineChars="200"/>
        <w:rPr>
          <w:rFonts w:hint="eastAsia" w:ascii="宋体" w:hAnsi="宋体" w:cs="宋体"/>
          <w:szCs w:val="21"/>
          <w:highlight w:val="none"/>
        </w:rPr>
      </w:pPr>
    </w:p>
    <w:p>
      <w:pPr>
        <w:spacing w:line="360" w:lineRule="auto"/>
        <w:ind w:firstLine="480" w:firstLineChars="200"/>
        <w:rPr>
          <w:rFonts w:hint="eastAsia" w:ascii="宋体" w:hAnsi="宋体" w:cs="宋体"/>
          <w:szCs w:val="21"/>
          <w:highlight w:val="none"/>
        </w:rPr>
      </w:pPr>
    </w:p>
    <w:p>
      <w:pPr>
        <w:spacing w:line="360" w:lineRule="auto"/>
        <w:ind w:firstLine="480" w:firstLineChars="200"/>
        <w:rPr>
          <w:rFonts w:hint="eastAsia" w:ascii="宋体" w:hAnsi="宋体" w:cs="宋体"/>
          <w:szCs w:val="21"/>
          <w:highlight w:val="none"/>
        </w:rPr>
      </w:pPr>
    </w:p>
    <w:p>
      <w:pPr>
        <w:spacing w:line="360" w:lineRule="auto"/>
        <w:ind w:firstLine="480" w:firstLineChars="200"/>
        <w:rPr>
          <w:rFonts w:hint="eastAsia" w:ascii="宋体" w:hAnsi="宋体" w:cs="宋体"/>
          <w:szCs w:val="21"/>
          <w:highlight w:val="none"/>
        </w:rPr>
      </w:pPr>
    </w:p>
    <w:p>
      <w:pPr>
        <w:spacing w:line="360" w:lineRule="auto"/>
        <w:ind w:firstLine="480" w:firstLineChars="200"/>
        <w:rPr>
          <w:rFonts w:hint="eastAsia" w:ascii="宋体" w:hAnsi="宋体" w:cs="宋体"/>
          <w:szCs w:val="21"/>
          <w:highlight w:val="none"/>
        </w:rPr>
      </w:pPr>
    </w:p>
    <w:p>
      <w:pPr>
        <w:pStyle w:val="3"/>
        <w:numPr>
          <w:ilvl w:val="0"/>
          <w:numId w:val="0"/>
        </w:numPr>
        <w:spacing w:before="0" w:line="360" w:lineRule="auto"/>
        <w:ind w:left="0" w:leftChars="0" w:firstLine="642" w:firstLineChars="200"/>
        <w:jc w:val="center"/>
        <w:rPr>
          <w:rFonts w:hint="eastAsia" w:ascii="仿宋" w:hAnsi="仿宋" w:eastAsia="仿宋" w:cs="仿宋"/>
          <w:b/>
          <w:color w:val="auto"/>
          <w:sz w:val="32"/>
          <w:szCs w:val="30"/>
          <w:highlight w:val="none"/>
          <w:lang w:val="zh-CN" w:eastAsia="zh-CN"/>
        </w:rPr>
      </w:pPr>
      <w:r>
        <w:rPr>
          <w:rFonts w:hint="eastAsia" w:ascii="仿宋" w:hAnsi="仿宋" w:eastAsia="仿宋" w:cs="仿宋"/>
          <w:b/>
          <w:bCs/>
          <w:color w:val="auto"/>
          <w:kern w:val="2"/>
          <w:sz w:val="32"/>
          <w:szCs w:val="30"/>
          <w:highlight w:val="none"/>
          <w:lang w:val="en-US" w:eastAsia="zh-CN" w:bidi="ar-SA"/>
        </w:rPr>
        <w:t>七</w:t>
      </w:r>
      <w:r>
        <w:rPr>
          <w:rFonts w:hint="eastAsia" w:ascii="仿宋" w:hAnsi="仿宋" w:eastAsia="仿宋" w:cs="仿宋"/>
          <w:b/>
          <w:bCs/>
          <w:color w:val="auto"/>
          <w:kern w:val="2"/>
          <w:sz w:val="32"/>
          <w:szCs w:val="30"/>
          <w:highlight w:val="none"/>
          <w:lang w:val="zh-CN" w:eastAsia="zh-CN" w:bidi="ar-SA"/>
        </w:rPr>
        <w:t>、</w:t>
      </w:r>
      <w:r>
        <w:rPr>
          <w:rFonts w:hint="eastAsia" w:ascii="仿宋" w:hAnsi="仿宋" w:eastAsia="仿宋" w:cs="仿宋"/>
          <w:b/>
          <w:color w:val="auto"/>
          <w:sz w:val="32"/>
          <w:szCs w:val="30"/>
          <w:highlight w:val="none"/>
          <w:lang w:val="zh-CN" w:eastAsia="zh-CN"/>
        </w:rPr>
        <w:t>供应商基本情况</w:t>
      </w:r>
    </w:p>
    <w:p>
      <w:pPr>
        <w:autoSpaceDE w:val="0"/>
        <w:autoSpaceDN w:val="0"/>
        <w:adjustRightInd w:val="0"/>
        <w:spacing w:line="400" w:lineRule="exact"/>
        <w:jc w:val="left"/>
        <w:rPr>
          <w:rFonts w:hint="default" w:ascii="仿宋" w:hAnsi="仿宋" w:eastAsia="仿宋" w:cs="仿宋"/>
          <w:b/>
          <w:bCs/>
          <w:color w:val="auto"/>
          <w:szCs w:val="21"/>
          <w:highlight w:val="none"/>
          <w:lang w:val="en-US" w:eastAsia="zh-CN"/>
        </w:rPr>
      </w:pPr>
      <w:r>
        <w:rPr>
          <w:rFonts w:hint="eastAsia" w:cs="仿宋"/>
          <w:b/>
          <w:bCs/>
          <w:color w:val="auto"/>
          <w:szCs w:val="21"/>
          <w:highlight w:val="none"/>
          <w:lang w:val="en-US" w:eastAsia="zh-CN"/>
        </w:rPr>
        <w:t>单位名称：</w:t>
      </w:r>
      <w:r>
        <w:rPr>
          <w:rFonts w:hint="eastAsia" w:cs="仿宋"/>
          <w:b/>
          <w:bCs/>
          <w:color w:val="auto"/>
          <w:szCs w:val="21"/>
          <w:highlight w:val="none"/>
          <w:u w:val="single"/>
          <w:lang w:val="en-US" w:eastAsia="zh-CN"/>
        </w:rPr>
        <w:t xml:space="preserve">                       </w:t>
      </w:r>
      <w:r>
        <w:rPr>
          <w:rFonts w:hint="eastAsia" w:cs="仿宋"/>
          <w:b/>
          <w:bCs/>
          <w:color w:val="auto"/>
          <w:szCs w:val="21"/>
          <w:highlight w:val="none"/>
          <w:lang w:val="en-US" w:eastAsia="zh-CN"/>
        </w:rPr>
        <w:t xml:space="preserve"> （加盖公章）</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6"/>
        <w:gridCol w:w="6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6" w:type="dxa"/>
          </w:tcPr>
          <w:p>
            <w:pPr>
              <w:widowControl w:val="0"/>
              <w:bidi w:val="0"/>
              <w:spacing w:line="240" w:lineRule="auto"/>
              <w:jc w:val="both"/>
              <w:rPr>
                <w:rFonts w:hint="eastAsia"/>
                <w:sz w:val="21"/>
                <w:szCs w:val="21"/>
                <w:highlight w:val="none"/>
                <w:lang w:val="zh-CN"/>
              </w:rPr>
            </w:pPr>
            <w:bookmarkStart w:id="132" w:name="_Toc30559"/>
            <w:bookmarkStart w:id="133" w:name="_Toc201719192"/>
            <w:r>
              <w:rPr>
                <w:sz w:val="21"/>
                <w:szCs w:val="21"/>
                <w:highlight w:val="none"/>
              </w:rPr>
              <w:t>注册资金</w:t>
            </w:r>
          </w:p>
        </w:tc>
        <w:tc>
          <w:tcPr>
            <w:tcW w:w="6016" w:type="dxa"/>
          </w:tcPr>
          <w:p>
            <w:pPr>
              <w:widowControl w:val="0"/>
              <w:bidi w:val="0"/>
              <w:spacing w:line="240" w:lineRule="auto"/>
              <w:jc w:val="right"/>
              <w:rPr>
                <w:rFonts w:hint="eastAsia" w:ascii="仿宋" w:hAnsi="仿宋" w:eastAsia="仿宋" w:cs="仿宋"/>
                <w:b/>
                <w:bCs/>
                <w:color w:val="auto"/>
                <w:sz w:val="21"/>
                <w:szCs w:val="21"/>
                <w:highlight w:val="none"/>
                <w:vertAlign w:val="baseline"/>
                <w:lang w:val="zh-CN"/>
              </w:rPr>
            </w:pPr>
            <w:r>
              <w:rPr>
                <w:sz w:val="21"/>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6" w:type="dxa"/>
          </w:tcPr>
          <w:p>
            <w:pPr>
              <w:widowControl w:val="0"/>
              <w:bidi w:val="0"/>
              <w:spacing w:line="240" w:lineRule="auto"/>
              <w:jc w:val="both"/>
              <w:rPr>
                <w:rFonts w:hint="eastAsia"/>
                <w:sz w:val="21"/>
                <w:szCs w:val="21"/>
                <w:highlight w:val="none"/>
                <w:lang w:val="zh-CN"/>
              </w:rPr>
            </w:pPr>
            <w:r>
              <w:rPr>
                <w:sz w:val="21"/>
                <w:szCs w:val="21"/>
                <w:highlight w:val="none"/>
              </w:rPr>
              <w:t>行业类别 （对应“□”画“√”）</w:t>
            </w:r>
          </w:p>
        </w:tc>
        <w:tc>
          <w:tcPr>
            <w:tcW w:w="6016" w:type="dxa"/>
          </w:tcPr>
          <w:p>
            <w:pPr>
              <w:widowControl w:val="0"/>
              <w:bidi w:val="0"/>
              <w:spacing w:line="240" w:lineRule="auto"/>
              <w:jc w:val="both"/>
              <w:rPr>
                <w:sz w:val="21"/>
                <w:szCs w:val="21"/>
                <w:highlight w:val="none"/>
              </w:rPr>
            </w:pPr>
            <w:r>
              <w:rPr>
                <w:sz w:val="21"/>
                <w:szCs w:val="21"/>
                <w:highlight w:val="none"/>
              </w:rPr>
              <w:t xml:space="preserve">□（一）农、林、牧、渔业 </w:t>
            </w:r>
          </w:p>
          <w:p>
            <w:pPr>
              <w:widowControl w:val="0"/>
              <w:bidi w:val="0"/>
              <w:spacing w:line="240" w:lineRule="auto"/>
              <w:jc w:val="both"/>
              <w:rPr>
                <w:sz w:val="21"/>
                <w:szCs w:val="21"/>
                <w:highlight w:val="none"/>
              </w:rPr>
            </w:pPr>
            <w:r>
              <w:rPr>
                <w:sz w:val="21"/>
                <w:szCs w:val="21"/>
                <w:highlight w:val="none"/>
              </w:rPr>
              <w:t xml:space="preserve">□（二）工业 </w:t>
            </w:r>
          </w:p>
          <w:p>
            <w:pPr>
              <w:widowControl w:val="0"/>
              <w:bidi w:val="0"/>
              <w:spacing w:line="240" w:lineRule="auto"/>
              <w:jc w:val="both"/>
              <w:rPr>
                <w:sz w:val="21"/>
                <w:szCs w:val="21"/>
                <w:highlight w:val="none"/>
              </w:rPr>
            </w:pPr>
            <w:r>
              <w:rPr>
                <w:sz w:val="21"/>
                <w:szCs w:val="21"/>
                <w:highlight w:val="none"/>
              </w:rPr>
              <w:t>□（三）建筑业</w:t>
            </w:r>
          </w:p>
          <w:p>
            <w:pPr>
              <w:widowControl w:val="0"/>
              <w:bidi w:val="0"/>
              <w:spacing w:line="240" w:lineRule="auto"/>
              <w:jc w:val="both"/>
              <w:rPr>
                <w:sz w:val="21"/>
                <w:szCs w:val="21"/>
                <w:highlight w:val="none"/>
              </w:rPr>
            </w:pPr>
            <w:r>
              <w:rPr>
                <w:sz w:val="21"/>
                <w:szCs w:val="21"/>
                <w:highlight w:val="none"/>
              </w:rPr>
              <w:t>□（四）</w:t>
            </w:r>
            <w:r>
              <w:rPr>
                <w:rFonts w:hint="eastAsia"/>
                <w:sz w:val="21"/>
                <w:szCs w:val="21"/>
                <w:highlight w:val="none"/>
                <w:lang w:val="en-US" w:eastAsia="zh-CN"/>
              </w:rPr>
              <w:t>批发业</w:t>
            </w:r>
          </w:p>
          <w:p>
            <w:pPr>
              <w:widowControl w:val="0"/>
              <w:bidi w:val="0"/>
              <w:spacing w:line="240" w:lineRule="auto"/>
              <w:jc w:val="both"/>
              <w:rPr>
                <w:sz w:val="21"/>
                <w:szCs w:val="21"/>
                <w:highlight w:val="none"/>
              </w:rPr>
            </w:pPr>
            <w:r>
              <w:rPr>
                <w:rFonts w:hint="eastAsia"/>
                <w:sz w:val="21"/>
                <w:szCs w:val="21"/>
                <w:highlight w:val="none"/>
                <w:lang w:eastAsia="zh-CN"/>
              </w:rPr>
              <w:t>□</w:t>
            </w:r>
            <w:r>
              <w:rPr>
                <w:sz w:val="21"/>
                <w:szCs w:val="21"/>
                <w:highlight w:val="none"/>
              </w:rPr>
              <w:t>（五）零售业</w:t>
            </w:r>
          </w:p>
          <w:p>
            <w:pPr>
              <w:widowControl w:val="0"/>
              <w:bidi w:val="0"/>
              <w:spacing w:line="240" w:lineRule="auto"/>
              <w:jc w:val="both"/>
              <w:rPr>
                <w:sz w:val="21"/>
                <w:szCs w:val="21"/>
                <w:highlight w:val="none"/>
              </w:rPr>
            </w:pPr>
            <w:r>
              <w:rPr>
                <w:sz w:val="21"/>
                <w:szCs w:val="21"/>
                <w:highlight w:val="none"/>
              </w:rPr>
              <w:t>□（六）交通运输业</w:t>
            </w:r>
          </w:p>
          <w:p>
            <w:pPr>
              <w:widowControl w:val="0"/>
              <w:bidi w:val="0"/>
              <w:spacing w:line="240" w:lineRule="auto"/>
              <w:jc w:val="both"/>
              <w:rPr>
                <w:sz w:val="21"/>
                <w:szCs w:val="21"/>
                <w:highlight w:val="none"/>
              </w:rPr>
            </w:pPr>
            <w:r>
              <w:rPr>
                <w:sz w:val="21"/>
                <w:szCs w:val="21"/>
                <w:highlight w:val="none"/>
              </w:rPr>
              <w:t xml:space="preserve">□（七）仓储业 </w:t>
            </w:r>
          </w:p>
          <w:p>
            <w:pPr>
              <w:widowControl w:val="0"/>
              <w:bidi w:val="0"/>
              <w:spacing w:line="240" w:lineRule="auto"/>
              <w:jc w:val="both"/>
              <w:rPr>
                <w:sz w:val="21"/>
                <w:szCs w:val="21"/>
                <w:highlight w:val="none"/>
              </w:rPr>
            </w:pPr>
            <w:r>
              <w:rPr>
                <w:sz w:val="21"/>
                <w:szCs w:val="21"/>
                <w:highlight w:val="none"/>
              </w:rPr>
              <w:t xml:space="preserve">□（八）邮政业 </w:t>
            </w:r>
          </w:p>
          <w:p>
            <w:pPr>
              <w:widowControl w:val="0"/>
              <w:bidi w:val="0"/>
              <w:spacing w:line="240" w:lineRule="auto"/>
              <w:jc w:val="both"/>
              <w:rPr>
                <w:sz w:val="21"/>
                <w:szCs w:val="21"/>
                <w:highlight w:val="none"/>
              </w:rPr>
            </w:pPr>
            <w:r>
              <w:rPr>
                <w:sz w:val="21"/>
                <w:szCs w:val="21"/>
                <w:highlight w:val="none"/>
              </w:rPr>
              <w:t xml:space="preserve">□（九）住宿业 </w:t>
            </w:r>
          </w:p>
          <w:p>
            <w:pPr>
              <w:widowControl w:val="0"/>
              <w:bidi w:val="0"/>
              <w:spacing w:line="240" w:lineRule="auto"/>
              <w:jc w:val="both"/>
              <w:rPr>
                <w:sz w:val="21"/>
                <w:szCs w:val="21"/>
                <w:highlight w:val="none"/>
              </w:rPr>
            </w:pPr>
            <w:r>
              <w:rPr>
                <w:sz w:val="21"/>
                <w:szCs w:val="21"/>
                <w:highlight w:val="none"/>
              </w:rPr>
              <w:t>□（十）餐饮业</w:t>
            </w:r>
          </w:p>
          <w:p>
            <w:pPr>
              <w:widowControl w:val="0"/>
              <w:bidi w:val="0"/>
              <w:spacing w:line="240" w:lineRule="auto"/>
              <w:jc w:val="both"/>
              <w:rPr>
                <w:sz w:val="21"/>
                <w:szCs w:val="21"/>
                <w:highlight w:val="none"/>
              </w:rPr>
            </w:pPr>
            <w:r>
              <w:rPr>
                <w:sz w:val="21"/>
                <w:szCs w:val="21"/>
                <w:highlight w:val="none"/>
              </w:rPr>
              <w:t xml:space="preserve">□（十一）信息传输业 </w:t>
            </w:r>
          </w:p>
          <w:p>
            <w:pPr>
              <w:widowControl w:val="0"/>
              <w:bidi w:val="0"/>
              <w:spacing w:line="240" w:lineRule="auto"/>
              <w:jc w:val="both"/>
              <w:rPr>
                <w:sz w:val="21"/>
                <w:szCs w:val="21"/>
                <w:highlight w:val="none"/>
              </w:rPr>
            </w:pPr>
            <w:r>
              <w:rPr>
                <w:sz w:val="21"/>
                <w:szCs w:val="21"/>
                <w:highlight w:val="none"/>
              </w:rPr>
              <w:t xml:space="preserve">□（十二）软件和信息信息技术服务业 </w:t>
            </w:r>
          </w:p>
          <w:p>
            <w:pPr>
              <w:widowControl w:val="0"/>
              <w:bidi w:val="0"/>
              <w:spacing w:line="240" w:lineRule="auto"/>
              <w:jc w:val="both"/>
              <w:rPr>
                <w:sz w:val="21"/>
                <w:szCs w:val="21"/>
                <w:highlight w:val="none"/>
              </w:rPr>
            </w:pPr>
            <w:r>
              <w:rPr>
                <w:sz w:val="21"/>
                <w:szCs w:val="21"/>
                <w:highlight w:val="none"/>
              </w:rPr>
              <w:t xml:space="preserve">□（十三）房地产开发经营 </w:t>
            </w:r>
          </w:p>
          <w:p>
            <w:pPr>
              <w:widowControl w:val="0"/>
              <w:bidi w:val="0"/>
              <w:spacing w:line="240" w:lineRule="auto"/>
              <w:jc w:val="both"/>
              <w:rPr>
                <w:sz w:val="21"/>
                <w:szCs w:val="21"/>
                <w:highlight w:val="none"/>
              </w:rPr>
            </w:pPr>
            <w:r>
              <w:rPr>
                <w:sz w:val="21"/>
                <w:szCs w:val="21"/>
                <w:highlight w:val="none"/>
              </w:rPr>
              <w:t xml:space="preserve">□（十四）物业管理 </w:t>
            </w:r>
          </w:p>
          <w:p>
            <w:pPr>
              <w:widowControl w:val="0"/>
              <w:bidi w:val="0"/>
              <w:spacing w:line="240" w:lineRule="auto"/>
              <w:jc w:val="both"/>
              <w:rPr>
                <w:sz w:val="21"/>
                <w:szCs w:val="21"/>
                <w:highlight w:val="none"/>
              </w:rPr>
            </w:pPr>
            <w:r>
              <w:rPr>
                <w:sz w:val="21"/>
                <w:szCs w:val="21"/>
                <w:highlight w:val="none"/>
              </w:rPr>
              <w:t xml:space="preserve">□（十五）租赁和商务服务业 </w:t>
            </w:r>
          </w:p>
          <w:p>
            <w:pPr>
              <w:widowControl w:val="0"/>
              <w:bidi w:val="0"/>
              <w:spacing w:line="240" w:lineRule="auto"/>
              <w:jc w:val="both"/>
              <w:rPr>
                <w:rFonts w:hint="eastAsia" w:ascii="仿宋" w:hAnsi="仿宋" w:eastAsia="仿宋" w:cs="仿宋"/>
                <w:b/>
                <w:bCs/>
                <w:color w:val="auto"/>
                <w:sz w:val="21"/>
                <w:szCs w:val="21"/>
                <w:highlight w:val="none"/>
                <w:vertAlign w:val="baseline"/>
                <w:lang w:val="zh-CN"/>
              </w:rPr>
            </w:pPr>
            <w:r>
              <w:rPr>
                <w:sz w:val="21"/>
                <w:szCs w:val="21"/>
                <w:highlight w:val="none"/>
              </w:rPr>
              <w:t>□（十六）其他未列明行业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6" w:type="dxa"/>
          </w:tcPr>
          <w:p>
            <w:pPr>
              <w:widowControl w:val="0"/>
              <w:bidi w:val="0"/>
              <w:spacing w:line="240" w:lineRule="auto"/>
              <w:jc w:val="both"/>
              <w:rPr>
                <w:rFonts w:hint="eastAsia"/>
                <w:sz w:val="21"/>
                <w:szCs w:val="21"/>
                <w:highlight w:val="none"/>
                <w:lang w:val="zh-CN"/>
              </w:rPr>
            </w:pPr>
            <w:r>
              <w:rPr>
                <w:sz w:val="21"/>
                <w:szCs w:val="21"/>
                <w:highlight w:val="none"/>
              </w:rPr>
              <w:t>职工人数</w:t>
            </w:r>
          </w:p>
        </w:tc>
        <w:tc>
          <w:tcPr>
            <w:tcW w:w="6016" w:type="dxa"/>
          </w:tcPr>
          <w:p>
            <w:pPr>
              <w:widowControl w:val="0"/>
              <w:bidi w:val="0"/>
              <w:spacing w:line="240" w:lineRule="auto"/>
              <w:jc w:val="right"/>
              <w:rPr>
                <w:rFonts w:hint="eastAsia"/>
                <w:sz w:val="21"/>
                <w:szCs w:val="21"/>
                <w:highlight w:val="none"/>
                <w:lang w:val="zh-CN"/>
              </w:rPr>
            </w:pPr>
            <w:r>
              <w:rPr>
                <w:sz w:val="21"/>
                <w:szCs w:val="21"/>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06" w:type="dxa"/>
          </w:tcPr>
          <w:p>
            <w:pPr>
              <w:widowControl w:val="0"/>
              <w:bidi w:val="0"/>
              <w:spacing w:line="240" w:lineRule="auto"/>
              <w:jc w:val="both"/>
              <w:rPr>
                <w:rFonts w:hint="eastAsia"/>
                <w:sz w:val="21"/>
                <w:szCs w:val="21"/>
                <w:highlight w:val="none"/>
                <w:lang w:val="zh-CN"/>
              </w:rPr>
            </w:pPr>
            <w:r>
              <w:rPr>
                <w:sz w:val="21"/>
                <w:szCs w:val="21"/>
                <w:highlight w:val="none"/>
              </w:rPr>
              <w:t>专业技术人员人数</w:t>
            </w:r>
          </w:p>
        </w:tc>
        <w:tc>
          <w:tcPr>
            <w:tcW w:w="6016" w:type="dxa"/>
          </w:tcPr>
          <w:p>
            <w:pPr>
              <w:widowControl w:val="0"/>
              <w:bidi w:val="0"/>
              <w:spacing w:line="240" w:lineRule="auto"/>
              <w:jc w:val="right"/>
              <w:rPr>
                <w:rFonts w:hint="eastAsia"/>
                <w:sz w:val="21"/>
                <w:szCs w:val="21"/>
                <w:highlight w:val="none"/>
                <w:lang w:val="zh-CN"/>
              </w:rPr>
            </w:pPr>
            <w:r>
              <w:rPr>
                <w:sz w:val="21"/>
                <w:szCs w:val="21"/>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6" w:type="dxa"/>
          </w:tcPr>
          <w:p>
            <w:pPr>
              <w:widowControl w:val="0"/>
              <w:bidi w:val="0"/>
              <w:spacing w:line="240" w:lineRule="auto"/>
              <w:jc w:val="both"/>
              <w:rPr>
                <w:rFonts w:hint="eastAsia"/>
                <w:sz w:val="21"/>
                <w:szCs w:val="21"/>
                <w:highlight w:val="none"/>
                <w:lang w:val="zh-CN"/>
              </w:rPr>
            </w:pPr>
            <w:r>
              <w:rPr>
                <w:sz w:val="21"/>
                <w:szCs w:val="21"/>
                <w:highlight w:val="none"/>
              </w:rPr>
              <w:t>上年度营业收入</w:t>
            </w:r>
          </w:p>
        </w:tc>
        <w:tc>
          <w:tcPr>
            <w:tcW w:w="6016" w:type="dxa"/>
          </w:tcPr>
          <w:p>
            <w:pPr>
              <w:widowControl w:val="0"/>
              <w:bidi w:val="0"/>
              <w:spacing w:line="240" w:lineRule="auto"/>
              <w:jc w:val="right"/>
              <w:rPr>
                <w:rFonts w:hint="eastAsia"/>
                <w:sz w:val="21"/>
                <w:szCs w:val="21"/>
                <w:highlight w:val="none"/>
                <w:lang w:val="zh-CN"/>
              </w:rPr>
            </w:pPr>
            <w:r>
              <w:rPr>
                <w:sz w:val="21"/>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6" w:type="dxa"/>
          </w:tcPr>
          <w:p>
            <w:pPr>
              <w:widowControl w:val="0"/>
              <w:bidi w:val="0"/>
              <w:spacing w:line="240" w:lineRule="auto"/>
              <w:jc w:val="both"/>
              <w:rPr>
                <w:rFonts w:hint="eastAsia"/>
                <w:sz w:val="21"/>
                <w:szCs w:val="21"/>
                <w:highlight w:val="none"/>
                <w:lang w:val="zh-CN"/>
              </w:rPr>
            </w:pPr>
            <w:r>
              <w:rPr>
                <w:sz w:val="21"/>
                <w:szCs w:val="21"/>
                <w:highlight w:val="none"/>
              </w:rPr>
              <w:t>社会保障资金情况</w:t>
            </w:r>
          </w:p>
        </w:tc>
        <w:tc>
          <w:tcPr>
            <w:tcW w:w="6016" w:type="dxa"/>
          </w:tcPr>
          <w:p>
            <w:pPr>
              <w:widowControl w:val="0"/>
              <w:bidi w:val="0"/>
              <w:spacing w:line="240" w:lineRule="auto"/>
              <w:jc w:val="right"/>
              <w:rPr>
                <w:rFonts w:hint="eastAsia"/>
                <w:sz w:val="21"/>
                <w:szCs w:val="21"/>
                <w:highlight w:val="none"/>
                <w:lang w:val="zh-CN"/>
              </w:rPr>
            </w:pPr>
            <w:r>
              <w:rPr>
                <w:sz w:val="21"/>
                <w:szCs w:val="21"/>
                <w:highlight w:val="none"/>
              </w:rPr>
              <w:t xml:space="preserve">附缴费证明复印件缴税情况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6" w:type="dxa"/>
          </w:tcPr>
          <w:p>
            <w:pPr>
              <w:widowControl w:val="0"/>
              <w:bidi w:val="0"/>
              <w:spacing w:line="240" w:lineRule="auto"/>
              <w:jc w:val="both"/>
              <w:rPr>
                <w:rFonts w:hint="eastAsia"/>
                <w:sz w:val="21"/>
                <w:szCs w:val="21"/>
                <w:highlight w:val="none"/>
                <w:lang w:val="zh-CN"/>
              </w:rPr>
            </w:pPr>
            <w:r>
              <w:rPr>
                <w:sz w:val="21"/>
                <w:szCs w:val="21"/>
                <w:highlight w:val="none"/>
              </w:rPr>
              <w:t>缴税情况</w:t>
            </w:r>
          </w:p>
        </w:tc>
        <w:tc>
          <w:tcPr>
            <w:tcW w:w="6016" w:type="dxa"/>
          </w:tcPr>
          <w:p>
            <w:pPr>
              <w:widowControl w:val="0"/>
              <w:bidi w:val="0"/>
              <w:spacing w:line="240" w:lineRule="auto"/>
              <w:jc w:val="right"/>
              <w:rPr>
                <w:rFonts w:hint="eastAsia"/>
                <w:sz w:val="21"/>
                <w:szCs w:val="21"/>
                <w:highlight w:val="none"/>
                <w:lang w:val="zh-CN"/>
              </w:rPr>
            </w:pPr>
            <w:r>
              <w:rPr>
                <w:sz w:val="21"/>
                <w:szCs w:val="21"/>
                <w:highlight w:val="none"/>
              </w:rPr>
              <w:t>有/无（有，附近期的缴费证明复印件）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06" w:type="dxa"/>
          </w:tcPr>
          <w:p>
            <w:pPr>
              <w:widowControl w:val="0"/>
              <w:bidi w:val="0"/>
              <w:spacing w:line="240" w:lineRule="auto"/>
              <w:jc w:val="both"/>
              <w:rPr>
                <w:rFonts w:hint="eastAsia"/>
                <w:sz w:val="21"/>
                <w:szCs w:val="21"/>
                <w:highlight w:val="none"/>
                <w:lang w:val="zh-CN"/>
              </w:rPr>
            </w:pPr>
            <w:r>
              <w:rPr>
                <w:sz w:val="21"/>
                <w:szCs w:val="21"/>
                <w:highlight w:val="none"/>
              </w:rPr>
              <w:t>上年利润</w:t>
            </w:r>
          </w:p>
        </w:tc>
        <w:tc>
          <w:tcPr>
            <w:tcW w:w="6016" w:type="dxa"/>
          </w:tcPr>
          <w:p>
            <w:pPr>
              <w:widowControl w:val="0"/>
              <w:bidi w:val="0"/>
              <w:spacing w:line="240" w:lineRule="auto"/>
              <w:jc w:val="right"/>
              <w:rPr>
                <w:rFonts w:hint="eastAsia"/>
                <w:sz w:val="21"/>
                <w:szCs w:val="21"/>
                <w:highlight w:val="none"/>
                <w:lang w:val="zh-CN"/>
              </w:rPr>
            </w:pPr>
            <w:r>
              <w:rPr>
                <w:sz w:val="21"/>
                <w:szCs w:val="21"/>
                <w:highlight w:val="none"/>
              </w:rPr>
              <w:t>（万元）</w:t>
            </w:r>
          </w:p>
        </w:tc>
      </w:tr>
    </w:tbl>
    <w:p>
      <w:pPr>
        <w:autoSpaceDE w:val="0"/>
        <w:autoSpaceDN w:val="0"/>
        <w:adjustRightInd w:val="0"/>
        <w:spacing w:line="360" w:lineRule="auto"/>
        <w:jc w:val="left"/>
        <w:rPr>
          <w:rFonts w:hint="eastAsia" w:ascii="仿宋" w:hAnsi="仿宋" w:eastAsia="仿宋" w:cs="仿宋"/>
          <w:color w:val="auto"/>
          <w:sz w:val="24"/>
          <w:szCs w:val="24"/>
          <w:highlight w:val="none"/>
        </w:rPr>
      </w:pPr>
    </w:p>
    <w:p>
      <w:pPr>
        <w:pStyle w:val="11"/>
        <w:rPr>
          <w:rFonts w:hint="eastAsia"/>
          <w:highlight w:val="none"/>
        </w:rPr>
      </w:pPr>
    </w:p>
    <w:p>
      <w:pPr>
        <w:autoSpaceDE w:val="0"/>
        <w:autoSpaceDN w:val="0"/>
        <w:adjustRightIn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  标  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（盖单位公章）</w:t>
      </w:r>
    </w:p>
    <w:p>
      <w:pPr>
        <w:autoSpaceDE w:val="0"/>
        <w:autoSpaceDN w:val="0"/>
        <w:adjustRightIn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法定代表人或委托代理人：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（签字或盖章）</w:t>
      </w:r>
    </w:p>
    <w:p>
      <w:pPr>
        <w:autoSpaceDE w:val="0"/>
        <w:autoSpaceDN w:val="0"/>
        <w:adjustRightIn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rPr>
          <w:rFonts w:hint="eastAsia" w:ascii="仿宋" w:hAnsi="仿宋" w:eastAsia="仿宋" w:cs="仿宋"/>
          <w:b/>
          <w:color w:val="auto"/>
          <w:sz w:val="32"/>
          <w:szCs w:val="30"/>
          <w:highlight w:val="none"/>
          <w:lang w:val="zh-CN" w:eastAsia="zh-CN"/>
        </w:rPr>
      </w:pPr>
    </w:p>
    <w:p>
      <w:pPr>
        <w:autoSpaceDE w:val="0"/>
        <w:autoSpaceDN w:val="0"/>
        <w:adjustRightInd w:val="0"/>
        <w:spacing w:line="360" w:lineRule="auto"/>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后附：营业执照、组织机构代码证、税务登记证、管理体系认证、经营企业许可证</w:t>
      </w:r>
      <w:r>
        <w:rPr>
          <w:rFonts w:hint="eastAsia" w:cs="仿宋"/>
          <w:color w:val="auto"/>
          <w:sz w:val="24"/>
          <w:szCs w:val="24"/>
          <w:highlight w:val="none"/>
          <w:lang w:eastAsia="zh-CN"/>
        </w:rPr>
        <w:t>、</w:t>
      </w:r>
      <w:r>
        <w:rPr>
          <w:rFonts w:hint="eastAsia" w:ascii="仿宋" w:hAnsi="仿宋" w:eastAsia="仿宋" w:cs="仿宋"/>
          <w:color w:val="auto"/>
          <w:sz w:val="24"/>
          <w:szCs w:val="24"/>
          <w:highlight w:val="none"/>
        </w:rPr>
        <w:t>技术证明文件等各种资料的复印件加盖投标人公章。</w:t>
      </w:r>
    </w:p>
    <w:p>
      <w:pPr>
        <w:rPr>
          <w:rFonts w:hint="eastAsia" w:ascii="仿宋" w:hAnsi="仿宋" w:eastAsia="仿宋" w:cs="仿宋"/>
          <w:b/>
          <w:color w:val="auto"/>
          <w:sz w:val="32"/>
          <w:szCs w:val="30"/>
          <w:highlight w:val="none"/>
          <w:lang w:val="zh-CN" w:eastAsia="zh-CN"/>
        </w:rPr>
      </w:pPr>
      <w:r>
        <w:rPr>
          <w:rFonts w:hint="eastAsia" w:ascii="仿宋" w:hAnsi="仿宋" w:eastAsia="仿宋" w:cs="仿宋"/>
          <w:b/>
          <w:color w:val="auto"/>
          <w:sz w:val="32"/>
          <w:szCs w:val="30"/>
          <w:highlight w:val="none"/>
          <w:lang w:val="zh-CN" w:eastAsia="zh-CN"/>
        </w:rPr>
        <w:br w:type="page"/>
      </w:r>
    </w:p>
    <w:p>
      <w:pPr>
        <w:pStyle w:val="4"/>
        <w:spacing w:before="0" w:after="0" w:line="360" w:lineRule="auto"/>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（1）投标单位财务状况</w:t>
      </w:r>
    </w:p>
    <w:p>
      <w:pPr>
        <w:rPr>
          <w:rFonts w:hint="eastAsia" w:ascii="仿宋" w:hAnsi="仿宋" w:eastAsia="仿宋" w:cs="仿宋"/>
          <w:b/>
          <w:color w:val="auto"/>
          <w:sz w:val="32"/>
          <w:szCs w:val="30"/>
          <w:highlight w:val="none"/>
          <w:lang w:val="zh-CN" w:eastAsia="zh-CN"/>
        </w:rPr>
      </w:pPr>
      <w:r>
        <w:rPr>
          <w:rFonts w:hint="eastAsia" w:ascii="仿宋" w:hAnsi="仿宋" w:eastAsia="仿宋" w:cs="仿宋"/>
          <w:sz w:val="21"/>
          <w:szCs w:val="21"/>
          <w:highlight w:val="none"/>
        </w:rPr>
        <w:t>应出具近三年（202</w:t>
      </w:r>
      <w:r>
        <w:rPr>
          <w:rFonts w:hint="eastAsia" w:cs="仿宋"/>
          <w:sz w:val="21"/>
          <w:szCs w:val="21"/>
          <w:highlight w:val="none"/>
          <w:lang w:val="en-US" w:eastAsia="zh-CN"/>
        </w:rPr>
        <w:t>2</w:t>
      </w:r>
      <w:r>
        <w:rPr>
          <w:rFonts w:hint="eastAsia" w:ascii="仿宋" w:hAnsi="仿宋" w:eastAsia="仿宋" w:cs="仿宋"/>
          <w:sz w:val="21"/>
          <w:szCs w:val="21"/>
          <w:highlight w:val="none"/>
        </w:rPr>
        <w:t>年至</w:t>
      </w:r>
      <w:r>
        <w:rPr>
          <w:rFonts w:hint="eastAsia" w:cs="仿宋"/>
          <w:sz w:val="21"/>
          <w:szCs w:val="21"/>
          <w:highlight w:val="none"/>
          <w:lang w:val="en-US" w:eastAsia="zh-CN"/>
        </w:rPr>
        <w:t>2024年</w:t>
      </w:r>
      <w:r>
        <w:rPr>
          <w:rFonts w:hint="eastAsia" w:ascii="仿宋" w:hAnsi="仿宋" w:eastAsia="仿宋" w:cs="仿宋"/>
          <w:sz w:val="21"/>
          <w:szCs w:val="21"/>
          <w:highlight w:val="none"/>
        </w:rPr>
        <w:t>）经会计师事务所审计的财务</w:t>
      </w:r>
      <w:r>
        <w:rPr>
          <w:rFonts w:hint="eastAsia" w:cs="仿宋"/>
          <w:sz w:val="21"/>
          <w:szCs w:val="21"/>
          <w:highlight w:val="none"/>
          <w:lang w:eastAsia="zh-CN"/>
        </w:rPr>
        <w:t>审计报告或财务报表</w:t>
      </w:r>
      <w:r>
        <w:rPr>
          <w:rFonts w:hint="eastAsia" w:ascii="仿宋" w:hAnsi="仿宋" w:eastAsia="仿宋" w:cs="仿宋"/>
          <w:sz w:val="21"/>
          <w:szCs w:val="21"/>
          <w:highlight w:val="none"/>
        </w:rPr>
        <w:t>（投标人的成立时间少于规定年份的，应提供成立以来至202</w:t>
      </w:r>
      <w:r>
        <w:rPr>
          <w:rFonts w:hint="eastAsia" w:cs="仿宋"/>
          <w:sz w:val="21"/>
          <w:szCs w:val="21"/>
          <w:highlight w:val="none"/>
          <w:lang w:val="en-US" w:eastAsia="zh-CN"/>
        </w:rPr>
        <w:t>4</w:t>
      </w:r>
      <w:r>
        <w:rPr>
          <w:rFonts w:hint="eastAsia" w:ascii="仿宋" w:hAnsi="仿宋" w:eastAsia="仿宋" w:cs="仿宋"/>
          <w:sz w:val="21"/>
          <w:szCs w:val="21"/>
          <w:highlight w:val="none"/>
        </w:rPr>
        <w:t>年的财务</w:t>
      </w:r>
      <w:r>
        <w:rPr>
          <w:rFonts w:hint="eastAsia" w:cs="仿宋"/>
          <w:sz w:val="21"/>
          <w:szCs w:val="21"/>
          <w:highlight w:val="none"/>
          <w:lang w:eastAsia="zh-CN"/>
        </w:rPr>
        <w:t>审计报告或财务报表</w:t>
      </w:r>
      <w:r>
        <w:rPr>
          <w:rFonts w:hint="eastAsia" w:ascii="仿宋" w:hAnsi="仿宋" w:eastAsia="仿宋" w:cs="仿宋"/>
          <w:sz w:val="21"/>
          <w:szCs w:val="21"/>
          <w:highlight w:val="none"/>
        </w:rPr>
        <w:t>；202</w:t>
      </w:r>
      <w:r>
        <w:rPr>
          <w:rFonts w:hint="eastAsia" w:cs="仿宋"/>
          <w:sz w:val="21"/>
          <w:szCs w:val="21"/>
          <w:highlight w:val="none"/>
          <w:lang w:val="en-US" w:eastAsia="zh-CN"/>
        </w:rPr>
        <w:t>5</w:t>
      </w:r>
      <w:r>
        <w:rPr>
          <w:rFonts w:hint="eastAsia" w:ascii="仿宋" w:hAnsi="仿宋" w:eastAsia="仿宋" w:cs="仿宋"/>
          <w:sz w:val="21"/>
          <w:szCs w:val="21"/>
          <w:highlight w:val="none"/>
        </w:rPr>
        <w:t>年以后新成立企业需提供近三个月内银行出具的公司资信证明）</w:t>
      </w:r>
    </w:p>
    <w:p>
      <w:pP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br w:type="page"/>
      </w:r>
    </w:p>
    <w:p>
      <w:pPr>
        <w:pStyle w:val="4"/>
        <w:spacing w:before="0" w:after="0" w:line="360" w:lineRule="auto"/>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w:t>
      </w:r>
      <w:r>
        <w:rPr>
          <w:rFonts w:hint="eastAsia"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w:t>
      </w:r>
      <w:r>
        <w:rPr>
          <w:rFonts w:hint="eastAsia" w:cs="仿宋"/>
          <w:color w:val="auto"/>
          <w:sz w:val="28"/>
          <w:szCs w:val="28"/>
          <w:highlight w:val="none"/>
          <w:lang w:val="en-US" w:eastAsia="zh-CN"/>
        </w:rPr>
        <w:t>社保缴费凭证</w:t>
      </w:r>
    </w:p>
    <w:p>
      <w:pPr>
        <w:spacing w:before="0" w:after="0" w:line="360" w:lineRule="auto"/>
        <w:ind w:firstLine="420" w:firstLineChars="0"/>
        <w:jc w:val="left"/>
        <w:outlineLvl w:val="9"/>
        <w:rPr>
          <w:rFonts w:hint="eastAsia"/>
          <w:highlight w:val="none"/>
          <w:lang w:val="en-US" w:eastAsia="zh-CN"/>
        </w:rPr>
      </w:pPr>
      <w:r>
        <w:rPr>
          <w:rFonts w:hint="eastAsia"/>
          <w:highlight w:val="none"/>
          <w:lang w:val="en-US" w:eastAsia="zh-CN"/>
        </w:rPr>
        <w:t>供应商应提供近六个月中至少一个月的社会缴纳社会保险的凭据（专用收据或社会保险缴纳清单）和良好缴纳税收的相关凭据（以税务机关提供的纳税凭据或银行入账单为准），并加盖本单位公章。依法免税或不需要缴纳社会保障资金的供应商，应提供相应文件证明其依法免税或不需要缴纳社会保障资金</w:t>
      </w:r>
    </w:p>
    <w:p>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br w:type="page"/>
      </w:r>
    </w:p>
    <w:p>
      <w:pPr>
        <w:pStyle w:val="4"/>
        <w:spacing w:before="0" w:after="0" w:line="360" w:lineRule="auto"/>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w:t>
      </w:r>
      <w:r>
        <w:rPr>
          <w:rFonts w:hint="eastAsia" w:cs="仿宋"/>
          <w:color w:val="auto"/>
          <w:sz w:val="28"/>
          <w:szCs w:val="28"/>
          <w:highlight w:val="none"/>
          <w:lang w:val="en-US" w:eastAsia="zh-CN"/>
        </w:rPr>
        <w:t>3</w:t>
      </w:r>
      <w:r>
        <w:rPr>
          <w:rFonts w:hint="eastAsia" w:ascii="仿宋" w:hAnsi="仿宋" w:eastAsia="仿宋" w:cs="仿宋"/>
          <w:color w:val="auto"/>
          <w:sz w:val="28"/>
          <w:szCs w:val="28"/>
          <w:highlight w:val="none"/>
          <w:lang w:val="en-US" w:eastAsia="zh-CN"/>
        </w:rPr>
        <w:t>）类似项目业绩</w:t>
      </w:r>
    </w:p>
    <w:tbl>
      <w:tblPr>
        <w:tblStyle w:val="22"/>
        <w:tblW w:w="9015" w:type="dxa"/>
        <w:tblInd w:w="-2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65"/>
        <w:gridCol w:w="1350"/>
        <w:gridCol w:w="1275"/>
        <w:gridCol w:w="1380"/>
        <w:gridCol w:w="1365"/>
        <w:gridCol w:w="2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65" w:type="dxa"/>
            <w:noWrap w:val="0"/>
            <w:vAlign w:val="center"/>
          </w:tcPr>
          <w:p>
            <w:pPr>
              <w:pStyle w:val="4"/>
              <w:spacing w:line="360" w:lineRule="auto"/>
              <w:jc w:val="center"/>
              <w:rPr>
                <w:rFonts w:hint="eastAsia"/>
                <w:b w:val="0"/>
                <w:color w:val="000000"/>
                <w:sz w:val="24"/>
                <w:szCs w:val="24"/>
                <w:highlight w:val="none"/>
                <w:lang w:eastAsia="zh-CN"/>
              </w:rPr>
            </w:pPr>
            <w:r>
              <w:rPr>
                <w:rFonts w:hint="eastAsia"/>
                <w:b w:val="0"/>
                <w:color w:val="000000"/>
                <w:sz w:val="24"/>
                <w:szCs w:val="24"/>
                <w:highlight w:val="none"/>
                <w:lang w:eastAsia="zh-CN"/>
              </w:rPr>
              <w:t>序号</w:t>
            </w:r>
          </w:p>
        </w:tc>
        <w:tc>
          <w:tcPr>
            <w:tcW w:w="1350" w:type="dxa"/>
            <w:noWrap w:val="0"/>
            <w:vAlign w:val="center"/>
          </w:tcPr>
          <w:p>
            <w:pPr>
              <w:pStyle w:val="4"/>
              <w:spacing w:line="360" w:lineRule="auto"/>
              <w:jc w:val="center"/>
              <w:rPr>
                <w:rFonts w:hint="eastAsia"/>
                <w:b w:val="0"/>
                <w:color w:val="000000"/>
                <w:sz w:val="24"/>
                <w:szCs w:val="24"/>
                <w:highlight w:val="none"/>
                <w:lang w:eastAsia="zh-CN"/>
              </w:rPr>
            </w:pPr>
            <w:r>
              <w:rPr>
                <w:rFonts w:hint="eastAsia"/>
                <w:b w:val="0"/>
                <w:color w:val="000000"/>
                <w:sz w:val="24"/>
                <w:szCs w:val="24"/>
                <w:highlight w:val="none"/>
                <w:lang w:eastAsia="zh-CN"/>
              </w:rPr>
              <w:t>项目名称</w:t>
            </w:r>
          </w:p>
        </w:tc>
        <w:tc>
          <w:tcPr>
            <w:tcW w:w="1275" w:type="dxa"/>
            <w:noWrap w:val="0"/>
            <w:vAlign w:val="center"/>
          </w:tcPr>
          <w:p>
            <w:pPr>
              <w:pStyle w:val="4"/>
              <w:spacing w:line="360" w:lineRule="auto"/>
              <w:jc w:val="center"/>
              <w:rPr>
                <w:rFonts w:hint="eastAsia"/>
                <w:b w:val="0"/>
                <w:color w:val="000000"/>
                <w:sz w:val="24"/>
                <w:szCs w:val="24"/>
                <w:highlight w:val="none"/>
                <w:lang w:eastAsia="zh-CN"/>
              </w:rPr>
            </w:pPr>
            <w:r>
              <w:rPr>
                <w:rFonts w:hint="eastAsia"/>
                <w:b w:val="0"/>
                <w:color w:val="000000"/>
                <w:sz w:val="24"/>
                <w:szCs w:val="24"/>
                <w:highlight w:val="none"/>
                <w:lang w:eastAsia="zh-CN"/>
              </w:rPr>
              <w:t>采购内容</w:t>
            </w:r>
          </w:p>
        </w:tc>
        <w:tc>
          <w:tcPr>
            <w:tcW w:w="1380" w:type="dxa"/>
            <w:noWrap w:val="0"/>
            <w:vAlign w:val="center"/>
          </w:tcPr>
          <w:p>
            <w:pPr>
              <w:pStyle w:val="4"/>
              <w:spacing w:line="360" w:lineRule="auto"/>
              <w:jc w:val="center"/>
              <w:rPr>
                <w:rFonts w:hint="eastAsia"/>
                <w:b w:val="0"/>
                <w:color w:val="000000"/>
                <w:sz w:val="24"/>
                <w:szCs w:val="24"/>
                <w:highlight w:val="none"/>
                <w:lang w:eastAsia="zh-CN"/>
              </w:rPr>
            </w:pPr>
            <w:r>
              <w:rPr>
                <w:rFonts w:hint="eastAsia"/>
                <w:b w:val="0"/>
                <w:color w:val="000000"/>
                <w:sz w:val="24"/>
                <w:szCs w:val="24"/>
                <w:highlight w:val="none"/>
                <w:lang w:eastAsia="zh-CN"/>
              </w:rPr>
              <w:t>中标金额</w:t>
            </w:r>
          </w:p>
        </w:tc>
        <w:tc>
          <w:tcPr>
            <w:tcW w:w="1365" w:type="dxa"/>
            <w:noWrap w:val="0"/>
            <w:vAlign w:val="center"/>
          </w:tcPr>
          <w:p>
            <w:pPr>
              <w:pStyle w:val="4"/>
              <w:spacing w:line="360" w:lineRule="auto"/>
              <w:jc w:val="center"/>
              <w:rPr>
                <w:rFonts w:hint="eastAsia"/>
                <w:b w:val="0"/>
                <w:color w:val="000000"/>
                <w:sz w:val="24"/>
                <w:szCs w:val="24"/>
                <w:highlight w:val="none"/>
                <w:lang w:eastAsia="zh-CN"/>
              </w:rPr>
            </w:pPr>
            <w:r>
              <w:rPr>
                <w:rFonts w:hint="eastAsia"/>
                <w:b w:val="0"/>
                <w:color w:val="000000"/>
                <w:sz w:val="24"/>
                <w:szCs w:val="24"/>
                <w:highlight w:val="none"/>
                <w:lang w:eastAsia="zh-CN"/>
              </w:rPr>
              <w:t>服务期</w:t>
            </w:r>
          </w:p>
        </w:tc>
        <w:tc>
          <w:tcPr>
            <w:tcW w:w="2580" w:type="dxa"/>
            <w:noWrap w:val="0"/>
            <w:vAlign w:val="center"/>
          </w:tcPr>
          <w:p>
            <w:pPr>
              <w:pStyle w:val="4"/>
              <w:spacing w:line="360" w:lineRule="auto"/>
              <w:jc w:val="center"/>
              <w:rPr>
                <w:rFonts w:hint="eastAsia"/>
                <w:b w:val="0"/>
                <w:color w:val="000000"/>
                <w:sz w:val="24"/>
                <w:szCs w:val="24"/>
                <w:highlight w:val="none"/>
                <w:lang w:eastAsia="zh-CN"/>
              </w:rPr>
            </w:pPr>
            <w:r>
              <w:rPr>
                <w:rFonts w:hint="eastAsia"/>
                <w:b w:val="0"/>
                <w:color w:val="000000"/>
                <w:sz w:val="24"/>
                <w:szCs w:val="24"/>
                <w:highlight w:val="none"/>
                <w:lang w:eastAsia="zh-CN"/>
              </w:rPr>
              <w:t>采购人联系电话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5" w:hRule="atLeast"/>
        </w:trPr>
        <w:tc>
          <w:tcPr>
            <w:tcW w:w="1065" w:type="dxa"/>
            <w:noWrap w:val="0"/>
            <w:vAlign w:val="center"/>
          </w:tcPr>
          <w:p>
            <w:pPr>
              <w:pStyle w:val="4"/>
              <w:spacing w:line="360" w:lineRule="auto"/>
              <w:jc w:val="center"/>
              <w:rPr>
                <w:rFonts w:hint="eastAsia"/>
                <w:color w:val="000000"/>
                <w:sz w:val="24"/>
                <w:szCs w:val="24"/>
                <w:highlight w:val="none"/>
                <w:lang w:eastAsia="zh-CN"/>
              </w:rPr>
            </w:pPr>
          </w:p>
        </w:tc>
        <w:tc>
          <w:tcPr>
            <w:tcW w:w="1350" w:type="dxa"/>
            <w:noWrap w:val="0"/>
            <w:vAlign w:val="center"/>
          </w:tcPr>
          <w:p>
            <w:pPr>
              <w:pStyle w:val="4"/>
              <w:spacing w:line="360" w:lineRule="auto"/>
              <w:jc w:val="center"/>
              <w:rPr>
                <w:rFonts w:hint="eastAsia"/>
                <w:color w:val="000000"/>
                <w:sz w:val="24"/>
                <w:szCs w:val="24"/>
                <w:highlight w:val="none"/>
                <w:lang w:eastAsia="zh-CN"/>
              </w:rPr>
            </w:pPr>
          </w:p>
        </w:tc>
        <w:tc>
          <w:tcPr>
            <w:tcW w:w="1275" w:type="dxa"/>
            <w:noWrap w:val="0"/>
            <w:vAlign w:val="center"/>
          </w:tcPr>
          <w:p>
            <w:pPr>
              <w:pStyle w:val="4"/>
              <w:spacing w:line="360" w:lineRule="auto"/>
              <w:jc w:val="center"/>
              <w:rPr>
                <w:rFonts w:hint="eastAsia"/>
                <w:color w:val="000000"/>
                <w:sz w:val="24"/>
                <w:szCs w:val="24"/>
                <w:highlight w:val="none"/>
                <w:lang w:eastAsia="zh-CN"/>
              </w:rPr>
            </w:pPr>
          </w:p>
        </w:tc>
        <w:tc>
          <w:tcPr>
            <w:tcW w:w="1380" w:type="dxa"/>
            <w:noWrap w:val="0"/>
            <w:vAlign w:val="center"/>
          </w:tcPr>
          <w:p>
            <w:pPr>
              <w:pStyle w:val="4"/>
              <w:spacing w:line="360" w:lineRule="auto"/>
              <w:jc w:val="center"/>
              <w:rPr>
                <w:rFonts w:hint="eastAsia"/>
                <w:color w:val="000000"/>
                <w:sz w:val="24"/>
                <w:szCs w:val="24"/>
                <w:highlight w:val="none"/>
                <w:lang w:eastAsia="zh-CN"/>
              </w:rPr>
            </w:pPr>
          </w:p>
        </w:tc>
        <w:tc>
          <w:tcPr>
            <w:tcW w:w="1365" w:type="dxa"/>
            <w:noWrap w:val="0"/>
            <w:vAlign w:val="center"/>
          </w:tcPr>
          <w:p>
            <w:pPr>
              <w:pStyle w:val="4"/>
              <w:spacing w:line="360" w:lineRule="auto"/>
              <w:jc w:val="center"/>
              <w:rPr>
                <w:rFonts w:hint="eastAsia"/>
                <w:color w:val="000000"/>
                <w:sz w:val="24"/>
                <w:szCs w:val="24"/>
                <w:highlight w:val="none"/>
                <w:lang w:eastAsia="zh-CN"/>
              </w:rPr>
            </w:pPr>
          </w:p>
        </w:tc>
        <w:tc>
          <w:tcPr>
            <w:tcW w:w="2580" w:type="dxa"/>
            <w:noWrap w:val="0"/>
            <w:vAlign w:val="center"/>
          </w:tcPr>
          <w:p>
            <w:pPr>
              <w:pStyle w:val="4"/>
              <w:spacing w:line="360" w:lineRule="auto"/>
              <w:jc w:val="center"/>
              <w:rPr>
                <w:rFonts w:hint="eastAsia"/>
                <w:color w:val="000000"/>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65" w:type="dxa"/>
            <w:noWrap w:val="0"/>
            <w:vAlign w:val="center"/>
          </w:tcPr>
          <w:p>
            <w:pPr>
              <w:pStyle w:val="4"/>
              <w:spacing w:line="360" w:lineRule="auto"/>
              <w:jc w:val="center"/>
              <w:rPr>
                <w:rFonts w:hint="eastAsia"/>
                <w:color w:val="000000"/>
                <w:sz w:val="24"/>
                <w:szCs w:val="24"/>
                <w:highlight w:val="none"/>
                <w:lang w:eastAsia="zh-CN"/>
              </w:rPr>
            </w:pPr>
          </w:p>
        </w:tc>
        <w:tc>
          <w:tcPr>
            <w:tcW w:w="1350" w:type="dxa"/>
            <w:noWrap w:val="0"/>
            <w:vAlign w:val="center"/>
          </w:tcPr>
          <w:p>
            <w:pPr>
              <w:pStyle w:val="4"/>
              <w:spacing w:line="360" w:lineRule="auto"/>
              <w:jc w:val="center"/>
              <w:rPr>
                <w:rFonts w:hint="eastAsia"/>
                <w:color w:val="000000"/>
                <w:sz w:val="24"/>
                <w:szCs w:val="24"/>
                <w:highlight w:val="none"/>
                <w:lang w:eastAsia="zh-CN"/>
              </w:rPr>
            </w:pPr>
          </w:p>
        </w:tc>
        <w:tc>
          <w:tcPr>
            <w:tcW w:w="1275" w:type="dxa"/>
            <w:noWrap w:val="0"/>
            <w:vAlign w:val="center"/>
          </w:tcPr>
          <w:p>
            <w:pPr>
              <w:pStyle w:val="4"/>
              <w:spacing w:line="360" w:lineRule="auto"/>
              <w:jc w:val="center"/>
              <w:rPr>
                <w:rFonts w:hint="eastAsia"/>
                <w:color w:val="000000"/>
                <w:sz w:val="24"/>
                <w:szCs w:val="24"/>
                <w:highlight w:val="none"/>
                <w:lang w:eastAsia="zh-CN"/>
              </w:rPr>
            </w:pPr>
          </w:p>
        </w:tc>
        <w:tc>
          <w:tcPr>
            <w:tcW w:w="1380" w:type="dxa"/>
            <w:noWrap w:val="0"/>
            <w:vAlign w:val="center"/>
          </w:tcPr>
          <w:p>
            <w:pPr>
              <w:pStyle w:val="4"/>
              <w:spacing w:line="360" w:lineRule="auto"/>
              <w:jc w:val="center"/>
              <w:rPr>
                <w:rFonts w:hint="eastAsia"/>
                <w:color w:val="000000"/>
                <w:sz w:val="24"/>
                <w:szCs w:val="24"/>
                <w:highlight w:val="none"/>
                <w:lang w:eastAsia="zh-CN"/>
              </w:rPr>
            </w:pPr>
          </w:p>
        </w:tc>
        <w:tc>
          <w:tcPr>
            <w:tcW w:w="1365" w:type="dxa"/>
            <w:noWrap w:val="0"/>
            <w:vAlign w:val="center"/>
          </w:tcPr>
          <w:p>
            <w:pPr>
              <w:pStyle w:val="4"/>
              <w:spacing w:line="360" w:lineRule="auto"/>
              <w:jc w:val="center"/>
              <w:rPr>
                <w:rFonts w:hint="eastAsia"/>
                <w:color w:val="000000"/>
                <w:sz w:val="24"/>
                <w:szCs w:val="24"/>
                <w:highlight w:val="none"/>
                <w:lang w:eastAsia="zh-CN"/>
              </w:rPr>
            </w:pPr>
          </w:p>
        </w:tc>
        <w:tc>
          <w:tcPr>
            <w:tcW w:w="2580" w:type="dxa"/>
            <w:noWrap w:val="0"/>
            <w:vAlign w:val="center"/>
          </w:tcPr>
          <w:p>
            <w:pPr>
              <w:pStyle w:val="4"/>
              <w:spacing w:line="360" w:lineRule="auto"/>
              <w:jc w:val="center"/>
              <w:rPr>
                <w:rFonts w:hint="eastAsia"/>
                <w:color w:val="000000"/>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65" w:type="dxa"/>
            <w:noWrap w:val="0"/>
            <w:vAlign w:val="center"/>
          </w:tcPr>
          <w:p>
            <w:pPr>
              <w:pStyle w:val="4"/>
              <w:spacing w:line="360" w:lineRule="auto"/>
              <w:jc w:val="center"/>
              <w:rPr>
                <w:rFonts w:hint="eastAsia"/>
                <w:color w:val="000000"/>
                <w:sz w:val="24"/>
                <w:szCs w:val="24"/>
                <w:highlight w:val="none"/>
                <w:lang w:eastAsia="zh-CN"/>
              </w:rPr>
            </w:pPr>
          </w:p>
        </w:tc>
        <w:tc>
          <w:tcPr>
            <w:tcW w:w="1350" w:type="dxa"/>
            <w:noWrap w:val="0"/>
            <w:vAlign w:val="center"/>
          </w:tcPr>
          <w:p>
            <w:pPr>
              <w:pStyle w:val="4"/>
              <w:spacing w:line="360" w:lineRule="auto"/>
              <w:jc w:val="center"/>
              <w:rPr>
                <w:rFonts w:hint="eastAsia"/>
                <w:color w:val="000000"/>
                <w:sz w:val="24"/>
                <w:szCs w:val="24"/>
                <w:highlight w:val="none"/>
                <w:lang w:eastAsia="zh-CN"/>
              </w:rPr>
            </w:pPr>
          </w:p>
        </w:tc>
        <w:tc>
          <w:tcPr>
            <w:tcW w:w="1275" w:type="dxa"/>
            <w:noWrap w:val="0"/>
            <w:vAlign w:val="center"/>
          </w:tcPr>
          <w:p>
            <w:pPr>
              <w:pStyle w:val="4"/>
              <w:spacing w:line="360" w:lineRule="auto"/>
              <w:jc w:val="center"/>
              <w:rPr>
                <w:rFonts w:hint="eastAsia"/>
                <w:color w:val="000000"/>
                <w:sz w:val="24"/>
                <w:szCs w:val="24"/>
                <w:highlight w:val="none"/>
                <w:lang w:eastAsia="zh-CN"/>
              </w:rPr>
            </w:pPr>
          </w:p>
        </w:tc>
        <w:tc>
          <w:tcPr>
            <w:tcW w:w="1380" w:type="dxa"/>
            <w:noWrap w:val="0"/>
            <w:vAlign w:val="center"/>
          </w:tcPr>
          <w:p>
            <w:pPr>
              <w:pStyle w:val="4"/>
              <w:spacing w:line="360" w:lineRule="auto"/>
              <w:jc w:val="center"/>
              <w:rPr>
                <w:rFonts w:hint="eastAsia"/>
                <w:color w:val="000000"/>
                <w:sz w:val="24"/>
                <w:szCs w:val="24"/>
                <w:highlight w:val="none"/>
                <w:lang w:eastAsia="zh-CN"/>
              </w:rPr>
            </w:pPr>
          </w:p>
        </w:tc>
        <w:tc>
          <w:tcPr>
            <w:tcW w:w="1365" w:type="dxa"/>
            <w:noWrap w:val="0"/>
            <w:vAlign w:val="center"/>
          </w:tcPr>
          <w:p>
            <w:pPr>
              <w:pStyle w:val="4"/>
              <w:spacing w:line="360" w:lineRule="auto"/>
              <w:jc w:val="center"/>
              <w:rPr>
                <w:rFonts w:hint="eastAsia"/>
                <w:color w:val="000000"/>
                <w:sz w:val="24"/>
                <w:szCs w:val="24"/>
                <w:highlight w:val="none"/>
                <w:lang w:eastAsia="zh-CN"/>
              </w:rPr>
            </w:pPr>
          </w:p>
        </w:tc>
        <w:tc>
          <w:tcPr>
            <w:tcW w:w="2580" w:type="dxa"/>
            <w:noWrap w:val="0"/>
            <w:vAlign w:val="center"/>
          </w:tcPr>
          <w:p>
            <w:pPr>
              <w:pStyle w:val="4"/>
              <w:spacing w:line="360" w:lineRule="auto"/>
              <w:jc w:val="center"/>
              <w:rPr>
                <w:rFonts w:hint="eastAsia"/>
                <w:color w:val="000000"/>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65" w:type="dxa"/>
            <w:noWrap w:val="0"/>
            <w:vAlign w:val="center"/>
          </w:tcPr>
          <w:p>
            <w:pPr>
              <w:pStyle w:val="4"/>
              <w:spacing w:line="360" w:lineRule="auto"/>
              <w:jc w:val="center"/>
              <w:rPr>
                <w:rFonts w:hint="eastAsia"/>
                <w:color w:val="000000"/>
                <w:sz w:val="24"/>
                <w:szCs w:val="24"/>
                <w:highlight w:val="none"/>
                <w:lang w:eastAsia="zh-CN"/>
              </w:rPr>
            </w:pPr>
          </w:p>
        </w:tc>
        <w:tc>
          <w:tcPr>
            <w:tcW w:w="1350" w:type="dxa"/>
            <w:noWrap w:val="0"/>
            <w:vAlign w:val="center"/>
          </w:tcPr>
          <w:p>
            <w:pPr>
              <w:pStyle w:val="4"/>
              <w:spacing w:line="360" w:lineRule="auto"/>
              <w:jc w:val="center"/>
              <w:rPr>
                <w:rFonts w:hint="eastAsia"/>
                <w:color w:val="000000"/>
                <w:sz w:val="24"/>
                <w:szCs w:val="24"/>
                <w:highlight w:val="none"/>
                <w:lang w:eastAsia="zh-CN"/>
              </w:rPr>
            </w:pPr>
          </w:p>
        </w:tc>
        <w:tc>
          <w:tcPr>
            <w:tcW w:w="1275" w:type="dxa"/>
            <w:noWrap w:val="0"/>
            <w:vAlign w:val="center"/>
          </w:tcPr>
          <w:p>
            <w:pPr>
              <w:pStyle w:val="4"/>
              <w:spacing w:line="360" w:lineRule="auto"/>
              <w:jc w:val="center"/>
              <w:rPr>
                <w:rFonts w:hint="eastAsia"/>
                <w:color w:val="000000"/>
                <w:sz w:val="24"/>
                <w:szCs w:val="24"/>
                <w:highlight w:val="none"/>
                <w:lang w:eastAsia="zh-CN"/>
              </w:rPr>
            </w:pPr>
          </w:p>
        </w:tc>
        <w:tc>
          <w:tcPr>
            <w:tcW w:w="1380" w:type="dxa"/>
            <w:noWrap w:val="0"/>
            <w:vAlign w:val="center"/>
          </w:tcPr>
          <w:p>
            <w:pPr>
              <w:pStyle w:val="4"/>
              <w:spacing w:line="360" w:lineRule="auto"/>
              <w:jc w:val="center"/>
              <w:rPr>
                <w:rFonts w:hint="eastAsia"/>
                <w:color w:val="000000"/>
                <w:sz w:val="24"/>
                <w:szCs w:val="24"/>
                <w:highlight w:val="none"/>
                <w:lang w:eastAsia="zh-CN"/>
              </w:rPr>
            </w:pPr>
          </w:p>
        </w:tc>
        <w:tc>
          <w:tcPr>
            <w:tcW w:w="1365" w:type="dxa"/>
            <w:noWrap w:val="0"/>
            <w:vAlign w:val="center"/>
          </w:tcPr>
          <w:p>
            <w:pPr>
              <w:pStyle w:val="4"/>
              <w:spacing w:line="360" w:lineRule="auto"/>
              <w:jc w:val="center"/>
              <w:rPr>
                <w:rFonts w:hint="eastAsia"/>
                <w:color w:val="000000"/>
                <w:sz w:val="24"/>
                <w:szCs w:val="24"/>
                <w:highlight w:val="none"/>
                <w:lang w:eastAsia="zh-CN"/>
              </w:rPr>
            </w:pPr>
          </w:p>
        </w:tc>
        <w:tc>
          <w:tcPr>
            <w:tcW w:w="2580" w:type="dxa"/>
            <w:noWrap w:val="0"/>
            <w:vAlign w:val="center"/>
          </w:tcPr>
          <w:p>
            <w:pPr>
              <w:pStyle w:val="4"/>
              <w:spacing w:line="360" w:lineRule="auto"/>
              <w:jc w:val="center"/>
              <w:rPr>
                <w:rFonts w:hint="eastAsia"/>
                <w:color w:val="000000"/>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65" w:type="dxa"/>
            <w:noWrap w:val="0"/>
            <w:vAlign w:val="center"/>
          </w:tcPr>
          <w:p>
            <w:pPr>
              <w:pStyle w:val="4"/>
              <w:spacing w:line="360" w:lineRule="auto"/>
              <w:jc w:val="center"/>
              <w:rPr>
                <w:rFonts w:hint="eastAsia"/>
                <w:color w:val="000000"/>
                <w:sz w:val="24"/>
                <w:szCs w:val="24"/>
                <w:highlight w:val="none"/>
                <w:lang w:eastAsia="zh-CN"/>
              </w:rPr>
            </w:pPr>
          </w:p>
        </w:tc>
        <w:tc>
          <w:tcPr>
            <w:tcW w:w="1350" w:type="dxa"/>
            <w:noWrap w:val="0"/>
            <w:vAlign w:val="center"/>
          </w:tcPr>
          <w:p>
            <w:pPr>
              <w:pStyle w:val="4"/>
              <w:spacing w:line="360" w:lineRule="auto"/>
              <w:jc w:val="center"/>
              <w:rPr>
                <w:rFonts w:hint="eastAsia"/>
                <w:color w:val="000000"/>
                <w:sz w:val="24"/>
                <w:szCs w:val="24"/>
                <w:highlight w:val="none"/>
                <w:lang w:eastAsia="zh-CN"/>
              </w:rPr>
            </w:pPr>
          </w:p>
        </w:tc>
        <w:tc>
          <w:tcPr>
            <w:tcW w:w="1275" w:type="dxa"/>
            <w:noWrap w:val="0"/>
            <w:vAlign w:val="center"/>
          </w:tcPr>
          <w:p>
            <w:pPr>
              <w:pStyle w:val="4"/>
              <w:spacing w:line="360" w:lineRule="auto"/>
              <w:jc w:val="center"/>
              <w:rPr>
                <w:rFonts w:hint="eastAsia"/>
                <w:color w:val="000000"/>
                <w:sz w:val="24"/>
                <w:szCs w:val="24"/>
                <w:highlight w:val="none"/>
                <w:lang w:eastAsia="zh-CN"/>
              </w:rPr>
            </w:pPr>
          </w:p>
        </w:tc>
        <w:tc>
          <w:tcPr>
            <w:tcW w:w="1380" w:type="dxa"/>
            <w:noWrap w:val="0"/>
            <w:vAlign w:val="center"/>
          </w:tcPr>
          <w:p>
            <w:pPr>
              <w:pStyle w:val="4"/>
              <w:spacing w:line="360" w:lineRule="auto"/>
              <w:jc w:val="center"/>
              <w:rPr>
                <w:rFonts w:hint="eastAsia"/>
                <w:color w:val="000000"/>
                <w:sz w:val="24"/>
                <w:szCs w:val="24"/>
                <w:highlight w:val="none"/>
                <w:lang w:eastAsia="zh-CN"/>
              </w:rPr>
            </w:pPr>
          </w:p>
        </w:tc>
        <w:tc>
          <w:tcPr>
            <w:tcW w:w="1365" w:type="dxa"/>
            <w:noWrap w:val="0"/>
            <w:vAlign w:val="center"/>
          </w:tcPr>
          <w:p>
            <w:pPr>
              <w:pStyle w:val="4"/>
              <w:spacing w:line="360" w:lineRule="auto"/>
              <w:jc w:val="center"/>
              <w:rPr>
                <w:rFonts w:hint="eastAsia"/>
                <w:color w:val="000000"/>
                <w:sz w:val="24"/>
                <w:szCs w:val="24"/>
                <w:highlight w:val="none"/>
                <w:lang w:eastAsia="zh-CN"/>
              </w:rPr>
            </w:pPr>
          </w:p>
        </w:tc>
        <w:tc>
          <w:tcPr>
            <w:tcW w:w="2580" w:type="dxa"/>
            <w:noWrap w:val="0"/>
            <w:vAlign w:val="center"/>
          </w:tcPr>
          <w:p>
            <w:pPr>
              <w:pStyle w:val="4"/>
              <w:spacing w:line="360" w:lineRule="auto"/>
              <w:jc w:val="center"/>
              <w:rPr>
                <w:rFonts w:hint="eastAsia"/>
                <w:color w:val="000000"/>
                <w:sz w:val="24"/>
                <w:szCs w:val="24"/>
                <w:highlight w:val="none"/>
                <w:lang w:eastAsia="zh-CN"/>
              </w:rPr>
            </w:pPr>
          </w:p>
        </w:tc>
      </w:tr>
    </w:tbl>
    <w:p>
      <w:pPr>
        <w:bidi w:val="0"/>
        <w:rPr>
          <w:rFonts w:hint="eastAsia"/>
          <w:highlight w:val="none"/>
          <w:lang w:val="en-US" w:eastAsia="zh-CN"/>
        </w:rPr>
      </w:pPr>
    </w:p>
    <w:p>
      <w:pPr>
        <w:autoSpaceDE w:val="0"/>
        <w:autoSpaceDN w:val="0"/>
        <w:adjustRightIn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  标  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（盖单位公章）</w:t>
      </w:r>
    </w:p>
    <w:p>
      <w:pPr>
        <w:autoSpaceDE w:val="0"/>
        <w:autoSpaceDN w:val="0"/>
        <w:adjustRightIn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法定代表人或委托代理人：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（签字或盖章）</w:t>
      </w:r>
    </w:p>
    <w:p>
      <w:pPr>
        <w:autoSpaceDE w:val="0"/>
        <w:autoSpaceDN w:val="0"/>
        <w:adjustRightIn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bidi w:val="0"/>
        <w:rPr>
          <w:rFonts w:hint="eastAsia"/>
          <w:highlight w:val="none"/>
          <w:lang w:val="en-US" w:eastAsia="zh-CN"/>
        </w:rPr>
      </w:pPr>
    </w:p>
    <w:p>
      <w:pPr>
        <w:bidi w:val="0"/>
        <w:rPr>
          <w:rFonts w:hint="eastAsia"/>
          <w:highlight w:val="none"/>
          <w:lang w:val="en-US" w:eastAsia="zh-CN"/>
        </w:rPr>
      </w:pPr>
    </w:p>
    <w:p>
      <w:pPr>
        <w:bidi w:val="0"/>
        <w:rPr>
          <w:rFonts w:hint="default"/>
          <w:highlight w:val="none"/>
          <w:lang w:val="en-US" w:eastAsia="zh-CN"/>
        </w:rPr>
      </w:pPr>
      <w:r>
        <w:rPr>
          <w:rFonts w:hint="eastAsia"/>
          <w:highlight w:val="none"/>
          <w:lang w:val="en-US" w:eastAsia="zh-CN"/>
        </w:rPr>
        <w:t>后附业绩证明材料（中标通知书和供货合同）并标明序号，没有类似项目经验本表可不填写。</w:t>
      </w:r>
    </w:p>
    <w:p>
      <w:pPr>
        <w:rPr>
          <w:rFonts w:hint="eastAsia" w:ascii="仿宋" w:hAnsi="仿宋" w:eastAsia="仿宋" w:cs="仿宋"/>
          <w:b/>
          <w:color w:val="auto"/>
          <w:sz w:val="32"/>
          <w:szCs w:val="30"/>
          <w:highlight w:val="none"/>
          <w:lang w:val="zh-CN" w:eastAsia="zh-CN"/>
        </w:rPr>
      </w:pPr>
      <w:r>
        <w:rPr>
          <w:rFonts w:hint="eastAsia" w:ascii="仿宋" w:hAnsi="仿宋" w:eastAsia="仿宋" w:cs="仿宋"/>
          <w:b/>
          <w:color w:val="auto"/>
          <w:sz w:val="32"/>
          <w:szCs w:val="30"/>
          <w:highlight w:val="none"/>
          <w:lang w:val="zh-CN" w:eastAsia="zh-CN"/>
        </w:rPr>
        <w:br w:type="page"/>
      </w:r>
    </w:p>
    <w:p>
      <w:pPr>
        <w:pStyle w:val="4"/>
        <w:spacing w:before="0" w:after="0" w:line="360" w:lineRule="auto"/>
        <w:jc w:val="center"/>
        <w:rPr>
          <w:rFonts w:hint="eastAsia" w:ascii="仿宋" w:hAnsi="仿宋" w:eastAsia="仿宋" w:cs="仿宋"/>
          <w:color w:val="auto"/>
          <w:sz w:val="28"/>
          <w:szCs w:val="28"/>
          <w:highlight w:val="none"/>
          <w:lang w:val="en-US" w:eastAsia="zh-CN"/>
        </w:rPr>
      </w:pPr>
      <w:r>
        <w:rPr>
          <w:rFonts w:hint="eastAsia" w:cs="仿宋"/>
          <w:color w:val="auto"/>
          <w:sz w:val="28"/>
          <w:szCs w:val="28"/>
          <w:highlight w:val="none"/>
          <w:lang w:val="en-US" w:eastAsia="zh-CN"/>
        </w:rPr>
        <w:t>（4）</w:t>
      </w:r>
      <w:r>
        <w:rPr>
          <w:rFonts w:hint="eastAsia" w:ascii="仿宋" w:hAnsi="仿宋" w:eastAsia="仿宋" w:cs="仿宋"/>
          <w:color w:val="auto"/>
          <w:sz w:val="28"/>
          <w:szCs w:val="28"/>
          <w:highlight w:val="none"/>
          <w:lang w:val="en-US" w:eastAsia="zh-CN"/>
        </w:rPr>
        <w:t>拟投入本项目的管理人员表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1718"/>
        <w:gridCol w:w="1652"/>
        <w:gridCol w:w="1175"/>
        <w:gridCol w:w="1120"/>
        <w:gridCol w:w="1199"/>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0" w:hRule="atLeast"/>
          <w:jc w:val="center"/>
        </w:trPr>
        <w:tc>
          <w:tcPr>
            <w:tcW w:w="620" w:type="dxa"/>
            <w:noWrap w:val="0"/>
            <w:vAlign w:val="center"/>
          </w:tcPr>
          <w:p>
            <w:pPr>
              <w:spacing w:line="400" w:lineRule="exact"/>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序号</w:t>
            </w:r>
          </w:p>
        </w:tc>
        <w:tc>
          <w:tcPr>
            <w:tcW w:w="1718" w:type="dxa"/>
            <w:noWrap w:val="0"/>
            <w:vAlign w:val="center"/>
          </w:tcPr>
          <w:p>
            <w:pPr>
              <w:spacing w:line="400" w:lineRule="exact"/>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岗位</w:t>
            </w:r>
          </w:p>
        </w:tc>
        <w:tc>
          <w:tcPr>
            <w:tcW w:w="1652" w:type="dxa"/>
            <w:noWrap w:val="0"/>
            <w:vAlign w:val="center"/>
          </w:tcPr>
          <w:p>
            <w:pPr>
              <w:spacing w:line="400" w:lineRule="exact"/>
              <w:jc w:val="center"/>
              <w:rPr>
                <w:rFonts w:hint="eastAsia" w:ascii="宋体" w:hAnsi="宋体"/>
                <w:color w:val="auto"/>
                <w:sz w:val="24"/>
                <w:szCs w:val="24"/>
                <w:highlight w:val="none"/>
              </w:rPr>
            </w:pPr>
            <w:r>
              <w:rPr>
                <w:rFonts w:hint="eastAsia" w:ascii="宋体" w:hAnsi="宋体"/>
                <w:color w:val="auto"/>
                <w:sz w:val="24"/>
                <w:szCs w:val="24"/>
                <w:highlight w:val="none"/>
              </w:rPr>
              <w:t>姓名</w:t>
            </w:r>
          </w:p>
        </w:tc>
        <w:tc>
          <w:tcPr>
            <w:tcW w:w="1175" w:type="dxa"/>
            <w:noWrap w:val="0"/>
            <w:vAlign w:val="center"/>
          </w:tcPr>
          <w:p>
            <w:pPr>
              <w:spacing w:line="400" w:lineRule="exact"/>
              <w:jc w:val="center"/>
              <w:rPr>
                <w:rFonts w:hint="eastAsia" w:ascii="宋体" w:hAnsi="宋体"/>
                <w:color w:val="auto"/>
                <w:sz w:val="24"/>
                <w:szCs w:val="24"/>
                <w:highlight w:val="none"/>
              </w:rPr>
            </w:pPr>
            <w:r>
              <w:rPr>
                <w:rFonts w:hint="eastAsia" w:ascii="宋体" w:hAnsi="宋体"/>
                <w:color w:val="auto"/>
                <w:sz w:val="24"/>
                <w:szCs w:val="24"/>
                <w:highlight w:val="none"/>
              </w:rPr>
              <w:t>性别</w:t>
            </w:r>
          </w:p>
        </w:tc>
        <w:tc>
          <w:tcPr>
            <w:tcW w:w="1120" w:type="dxa"/>
            <w:noWrap w:val="0"/>
            <w:vAlign w:val="center"/>
          </w:tcPr>
          <w:p>
            <w:pPr>
              <w:spacing w:line="400" w:lineRule="exact"/>
              <w:jc w:val="center"/>
              <w:rPr>
                <w:rFonts w:hint="eastAsia" w:ascii="宋体" w:hAnsi="宋体"/>
                <w:color w:val="auto"/>
                <w:sz w:val="24"/>
                <w:szCs w:val="24"/>
                <w:highlight w:val="none"/>
              </w:rPr>
            </w:pPr>
            <w:r>
              <w:rPr>
                <w:rFonts w:hint="eastAsia" w:ascii="宋体" w:hAnsi="宋体"/>
                <w:color w:val="auto"/>
                <w:sz w:val="24"/>
                <w:szCs w:val="24"/>
                <w:highlight w:val="none"/>
              </w:rPr>
              <w:t>年龄</w:t>
            </w:r>
          </w:p>
        </w:tc>
        <w:tc>
          <w:tcPr>
            <w:tcW w:w="1199" w:type="dxa"/>
            <w:noWrap w:val="0"/>
            <w:vAlign w:val="center"/>
          </w:tcPr>
          <w:p>
            <w:pPr>
              <w:spacing w:line="400" w:lineRule="exact"/>
              <w:jc w:val="center"/>
              <w:rPr>
                <w:rFonts w:hint="eastAsia" w:ascii="宋体" w:hAnsi="宋体"/>
                <w:color w:val="auto"/>
                <w:sz w:val="24"/>
                <w:szCs w:val="24"/>
                <w:highlight w:val="none"/>
              </w:rPr>
            </w:pPr>
            <w:r>
              <w:rPr>
                <w:rFonts w:hint="eastAsia" w:ascii="宋体" w:hAnsi="宋体"/>
                <w:color w:val="auto"/>
                <w:sz w:val="24"/>
                <w:szCs w:val="24"/>
                <w:highlight w:val="none"/>
              </w:rPr>
              <w:t>学历</w:t>
            </w:r>
          </w:p>
        </w:tc>
        <w:tc>
          <w:tcPr>
            <w:tcW w:w="1080" w:type="dxa"/>
            <w:noWrap w:val="0"/>
            <w:vAlign w:val="center"/>
          </w:tcPr>
          <w:p>
            <w:pPr>
              <w:spacing w:line="400" w:lineRule="exact"/>
              <w:jc w:val="center"/>
              <w:rPr>
                <w:rFonts w:hint="eastAsia" w:ascii="宋体" w:hAnsi="宋体"/>
                <w:color w:val="auto"/>
                <w:sz w:val="24"/>
                <w:szCs w:val="24"/>
                <w:highlight w:val="none"/>
              </w:rPr>
            </w:pPr>
            <w:r>
              <w:rPr>
                <w:rFonts w:hint="eastAsia" w:ascii="宋体" w:hAnsi="宋体"/>
                <w:color w:val="auto"/>
                <w:sz w:val="24"/>
                <w:szCs w:val="24"/>
                <w:highlight w:val="none"/>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620" w:type="dxa"/>
            <w:noWrap w:val="0"/>
            <w:vAlign w:val="center"/>
          </w:tcPr>
          <w:p>
            <w:pPr>
              <w:spacing w:line="400" w:lineRule="exact"/>
              <w:jc w:val="center"/>
              <w:rPr>
                <w:rFonts w:hint="eastAsia" w:ascii="宋体" w:hAnsi="宋体"/>
                <w:color w:val="auto"/>
                <w:sz w:val="24"/>
                <w:szCs w:val="24"/>
                <w:highlight w:val="none"/>
              </w:rPr>
            </w:pPr>
          </w:p>
        </w:tc>
        <w:tc>
          <w:tcPr>
            <w:tcW w:w="1718" w:type="dxa"/>
            <w:noWrap w:val="0"/>
            <w:vAlign w:val="center"/>
          </w:tcPr>
          <w:p>
            <w:pPr>
              <w:spacing w:line="400" w:lineRule="exact"/>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项目负责人</w:t>
            </w:r>
          </w:p>
        </w:tc>
        <w:tc>
          <w:tcPr>
            <w:tcW w:w="1652" w:type="dxa"/>
            <w:noWrap w:val="0"/>
            <w:vAlign w:val="top"/>
          </w:tcPr>
          <w:p>
            <w:pPr>
              <w:spacing w:line="400" w:lineRule="exact"/>
              <w:jc w:val="center"/>
              <w:rPr>
                <w:rFonts w:ascii="宋体" w:hAnsi="宋体"/>
                <w:color w:val="auto"/>
                <w:sz w:val="24"/>
                <w:szCs w:val="24"/>
                <w:highlight w:val="none"/>
              </w:rPr>
            </w:pPr>
          </w:p>
        </w:tc>
        <w:tc>
          <w:tcPr>
            <w:tcW w:w="1175" w:type="dxa"/>
            <w:noWrap w:val="0"/>
            <w:vAlign w:val="top"/>
          </w:tcPr>
          <w:p>
            <w:pPr>
              <w:spacing w:line="400" w:lineRule="exact"/>
              <w:jc w:val="center"/>
              <w:rPr>
                <w:rFonts w:ascii="宋体" w:hAnsi="宋体"/>
                <w:color w:val="auto"/>
                <w:sz w:val="24"/>
                <w:szCs w:val="24"/>
                <w:highlight w:val="none"/>
              </w:rPr>
            </w:pPr>
          </w:p>
        </w:tc>
        <w:tc>
          <w:tcPr>
            <w:tcW w:w="1120" w:type="dxa"/>
            <w:noWrap w:val="0"/>
            <w:vAlign w:val="center"/>
          </w:tcPr>
          <w:p>
            <w:pPr>
              <w:spacing w:line="400" w:lineRule="exact"/>
              <w:jc w:val="center"/>
              <w:rPr>
                <w:rFonts w:ascii="宋体" w:hAnsi="宋体"/>
                <w:color w:val="auto"/>
                <w:sz w:val="24"/>
                <w:szCs w:val="24"/>
                <w:highlight w:val="none"/>
              </w:rPr>
            </w:pPr>
          </w:p>
        </w:tc>
        <w:tc>
          <w:tcPr>
            <w:tcW w:w="1199" w:type="dxa"/>
            <w:noWrap w:val="0"/>
            <w:vAlign w:val="center"/>
          </w:tcPr>
          <w:p>
            <w:pPr>
              <w:spacing w:line="400" w:lineRule="exact"/>
              <w:jc w:val="center"/>
              <w:rPr>
                <w:rFonts w:ascii="宋体" w:hAnsi="宋体"/>
                <w:color w:val="auto"/>
                <w:sz w:val="24"/>
                <w:szCs w:val="24"/>
                <w:highlight w:val="none"/>
              </w:rPr>
            </w:pPr>
          </w:p>
        </w:tc>
        <w:tc>
          <w:tcPr>
            <w:tcW w:w="1080" w:type="dxa"/>
            <w:noWrap w:val="0"/>
            <w:vAlign w:val="center"/>
          </w:tcPr>
          <w:p>
            <w:pPr>
              <w:spacing w:line="400" w:lineRule="exact"/>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620" w:type="dxa"/>
            <w:noWrap w:val="0"/>
            <w:vAlign w:val="center"/>
          </w:tcPr>
          <w:p>
            <w:pPr>
              <w:spacing w:line="400" w:lineRule="exact"/>
              <w:jc w:val="center"/>
              <w:rPr>
                <w:rFonts w:hint="eastAsia" w:ascii="宋体" w:hAnsi="宋体"/>
                <w:color w:val="auto"/>
                <w:sz w:val="24"/>
                <w:szCs w:val="24"/>
                <w:highlight w:val="none"/>
              </w:rPr>
            </w:pPr>
          </w:p>
        </w:tc>
        <w:tc>
          <w:tcPr>
            <w:tcW w:w="1718" w:type="dxa"/>
            <w:noWrap w:val="0"/>
            <w:vAlign w:val="center"/>
          </w:tcPr>
          <w:p>
            <w:pPr>
              <w:spacing w:line="400" w:lineRule="exact"/>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lang w:eastAsia="zh-CN"/>
              </w:rPr>
              <w:t>技术负责人</w:t>
            </w:r>
          </w:p>
        </w:tc>
        <w:tc>
          <w:tcPr>
            <w:tcW w:w="1652" w:type="dxa"/>
            <w:noWrap w:val="0"/>
            <w:vAlign w:val="center"/>
          </w:tcPr>
          <w:p>
            <w:pPr>
              <w:spacing w:line="400" w:lineRule="exact"/>
              <w:jc w:val="center"/>
              <w:rPr>
                <w:rFonts w:hint="eastAsia" w:ascii="宋体" w:hAnsi="宋体"/>
                <w:color w:val="auto"/>
                <w:sz w:val="24"/>
                <w:szCs w:val="24"/>
                <w:highlight w:val="none"/>
              </w:rPr>
            </w:pPr>
          </w:p>
        </w:tc>
        <w:tc>
          <w:tcPr>
            <w:tcW w:w="1175" w:type="dxa"/>
            <w:noWrap w:val="0"/>
            <w:vAlign w:val="center"/>
          </w:tcPr>
          <w:p>
            <w:pPr>
              <w:spacing w:line="400" w:lineRule="exact"/>
              <w:jc w:val="center"/>
              <w:rPr>
                <w:rFonts w:hint="eastAsia" w:ascii="宋体" w:hAnsi="宋体"/>
                <w:color w:val="auto"/>
                <w:sz w:val="24"/>
                <w:szCs w:val="24"/>
                <w:highlight w:val="none"/>
              </w:rPr>
            </w:pPr>
          </w:p>
        </w:tc>
        <w:tc>
          <w:tcPr>
            <w:tcW w:w="1120" w:type="dxa"/>
            <w:noWrap w:val="0"/>
            <w:vAlign w:val="center"/>
          </w:tcPr>
          <w:p>
            <w:pPr>
              <w:spacing w:line="400" w:lineRule="exact"/>
              <w:jc w:val="center"/>
              <w:rPr>
                <w:rFonts w:hint="eastAsia" w:ascii="宋体" w:hAnsi="宋体"/>
                <w:color w:val="auto"/>
                <w:sz w:val="24"/>
                <w:szCs w:val="24"/>
                <w:highlight w:val="none"/>
              </w:rPr>
            </w:pPr>
          </w:p>
        </w:tc>
        <w:tc>
          <w:tcPr>
            <w:tcW w:w="1199" w:type="dxa"/>
            <w:noWrap w:val="0"/>
            <w:vAlign w:val="center"/>
          </w:tcPr>
          <w:p>
            <w:pPr>
              <w:spacing w:line="400" w:lineRule="exact"/>
              <w:jc w:val="center"/>
              <w:rPr>
                <w:rFonts w:hint="eastAsia" w:ascii="宋体" w:hAnsi="宋体"/>
                <w:color w:val="auto"/>
                <w:sz w:val="24"/>
                <w:szCs w:val="24"/>
                <w:highlight w:val="none"/>
              </w:rPr>
            </w:pPr>
          </w:p>
        </w:tc>
        <w:tc>
          <w:tcPr>
            <w:tcW w:w="1080" w:type="dxa"/>
            <w:noWrap w:val="0"/>
            <w:vAlign w:val="center"/>
          </w:tcPr>
          <w:p>
            <w:pPr>
              <w:spacing w:line="400" w:lineRule="exact"/>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5" w:hRule="atLeast"/>
          <w:jc w:val="center"/>
        </w:trPr>
        <w:tc>
          <w:tcPr>
            <w:tcW w:w="620" w:type="dxa"/>
            <w:noWrap w:val="0"/>
            <w:vAlign w:val="center"/>
          </w:tcPr>
          <w:p>
            <w:pPr>
              <w:spacing w:line="400" w:lineRule="exact"/>
              <w:jc w:val="center"/>
              <w:rPr>
                <w:rFonts w:hint="eastAsia" w:ascii="宋体" w:hAnsi="宋体"/>
                <w:color w:val="auto"/>
                <w:sz w:val="24"/>
                <w:szCs w:val="24"/>
                <w:highlight w:val="none"/>
                <w:lang w:eastAsia="zh-CN"/>
              </w:rPr>
            </w:pPr>
          </w:p>
        </w:tc>
        <w:tc>
          <w:tcPr>
            <w:tcW w:w="1718" w:type="dxa"/>
            <w:noWrap w:val="0"/>
            <w:vAlign w:val="center"/>
          </w:tcPr>
          <w:p>
            <w:pPr>
              <w:spacing w:line="400" w:lineRule="exact"/>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其他负责人</w:t>
            </w:r>
          </w:p>
        </w:tc>
        <w:tc>
          <w:tcPr>
            <w:tcW w:w="1652" w:type="dxa"/>
            <w:noWrap w:val="0"/>
            <w:vAlign w:val="center"/>
          </w:tcPr>
          <w:p>
            <w:pPr>
              <w:spacing w:line="400" w:lineRule="exact"/>
              <w:jc w:val="center"/>
              <w:rPr>
                <w:rFonts w:hint="eastAsia" w:ascii="宋体" w:hAnsi="宋体"/>
                <w:color w:val="auto"/>
                <w:sz w:val="24"/>
                <w:szCs w:val="24"/>
                <w:highlight w:val="none"/>
              </w:rPr>
            </w:pPr>
          </w:p>
        </w:tc>
        <w:tc>
          <w:tcPr>
            <w:tcW w:w="1175" w:type="dxa"/>
            <w:noWrap w:val="0"/>
            <w:vAlign w:val="center"/>
          </w:tcPr>
          <w:p>
            <w:pPr>
              <w:spacing w:line="400" w:lineRule="exact"/>
              <w:jc w:val="center"/>
              <w:rPr>
                <w:rFonts w:hint="eastAsia" w:ascii="宋体" w:hAnsi="宋体"/>
                <w:color w:val="auto"/>
                <w:sz w:val="24"/>
                <w:szCs w:val="24"/>
                <w:highlight w:val="none"/>
              </w:rPr>
            </w:pPr>
          </w:p>
        </w:tc>
        <w:tc>
          <w:tcPr>
            <w:tcW w:w="1120" w:type="dxa"/>
            <w:noWrap w:val="0"/>
            <w:vAlign w:val="center"/>
          </w:tcPr>
          <w:p>
            <w:pPr>
              <w:spacing w:line="400" w:lineRule="exact"/>
              <w:jc w:val="center"/>
              <w:rPr>
                <w:rFonts w:hint="eastAsia" w:ascii="宋体" w:hAnsi="宋体"/>
                <w:color w:val="auto"/>
                <w:sz w:val="24"/>
                <w:szCs w:val="24"/>
                <w:highlight w:val="none"/>
              </w:rPr>
            </w:pPr>
          </w:p>
        </w:tc>
        <w:tc>
          <w:tcPr>
            <w:tcW w:w="1199" w:type="dxa"/>
            <w:noWrap w:val="0"/>
            <w:vAlign w:val="center"/>
          </w:tcPr>
          <w:p>
            <w:pPr>
              <w:spacing w:line="400" w:lineRule="exact"/>
              <w:jc w:val="center"/>
              <w:rPr>
                <w:rFonts w:hint="eastAsia" w:ascii="宋体" w:hAnsi="宋体"/>
                <w:color w:val="auto"/>
                <w:sz w:val="24"/>
                <w:szCs w:val="24"/>
                <w:highlight w:val="none"/>
              </w:rPr>
            </w:pPr>
          </w:p>
        </w:tc>
        <w:tc>
          <w:tcPr>
            <w:tcW w:w="1080" w:type="dxa"/>
            <w:noWrap w:val="0"/>
            <w:vAlign w:val="center"/>
          </w:tcPr>
          <w:p>
            <w:pPr>
              <w:spacing w:line="400" w:lineRule="exact"/>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5" w:hRule="atLeast"/>
          <w:jc w:val="center"/>
        </w:trPr>
        <w:tc>
          <w:tcPr>
            <w:tcW w:w="620" w:type="dxa"/>
            <w:noWrap w:val="0"/>
            <w:vAlign w:val="center"/>
          </w:tcPr>
          <w:p>
            <w:pPr>
              <w:spacing w:line="400" w:lineRule="exact"/>
              <w:jc w:val="center"/>
              <w:rPr>
                <w:rFonts w:hint="eastAsia" w:ascii="宋体" w:hAnsi="宋体"/>
                <w:color w:val="auto"/>
                <w:sz w:val="24"/>
                <w:szCs w:val="24"/>
                <w:highlight w:val="none"/>
              </w:rPr>
            </w:pPr>
          </w:p>
        </w:tc>
        <w:tc>
          <w:tcPr>
            <w:tcW w:w="1718" w:type="dxa"/>
            <w:noWrap w:val="0"/>
            <w:vAlign w:val="center"/>
          </w:tcPr>
          <w:p>
            <w:pPr>
              <w:spacing w:line="400" w:lineRule="exact"/>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专业技术人员</w:t>
            </w:r>
          </w:p>
        </w:tc>
        <w:tc>
          <w:tcPr>
            <w:tcW w:w="1652" w:type="dxa"/>
            <w:noWrap w:val="0"/>
            <w:vAlign w:val="center"/>
          </w:tcPr>
          <w:p>
            <w:pPr>
              <w:spacing w:line="400" w:lineRule="exact"/>
              <w:jc w:val="center"/>
              <w:rPr>
                <w:rFonts w:hint="eastAsia" w:ascii="宋体" w:hAnsi="宋体"/>
                <w:color w:val="auto"/>
                <w:sz w:val="24"/>
                <w:szCs w:val="24"/>
                <w:highlight w:val="none"/>
              </w:rPr>
            </w:pPr>
          </w:p>
        </w:tc>
        <w:tc>
          <w:tcPr>
            <w:tcW w:w="1175" w:type="dxa"/>
            <w:noWrap w:val="0"/>
            <w:vAlign w:val="center"/>
          </w:tcPr>
          <w:p>
            <w:pPr>
              <w:spacing w:line="400" w:lineRule="exact"/>
              <w:jc w:val="center"/>
              <w:rPr>
                <w:rFonts w:hint="eastAsia" w:ascii="宋体" w:hAnsi="宋体"/>
                <w:color w:val="auto"/>
                <w:sz w:val="24"/>
                <w:szCs w:val="24"/>
                <w:highlight w:val="none"/>
              </w:rPr>
            </w:pPr>
          </w:p>
        </w:tc>
        <w:tc>
          <w:tcPr>
            <w:tcW w:w="1120" w:type="dxa"/>
            <w:noWrap w:val="0"/>
            <w:vAlign w:val="center"/>
          </w:tcPr>
          <w:p>
            <w:pPr>
              <w:spacing w:line="400" w:lineRule="exact"/>
              <w:jc w:val="center"/>
              <w:rPr>
                <w:rFonts w:hint="eastAsia" w:ascii="宋体" w:hAnsi="宋体"/>
                <w:color w:val="auto"/>
                <w:sz w:val="24"/>
                <w:szCs w:val="24"/>
                <w:highlight w:val="none"/>
              </w:rPr>
            </w:pPr>
          </w:p>
        </w:tc>
        <w:tc>
          <w:tcPr>
            <w:tcW w:w="1199" w:type="dxa"/>
            <w:noWrap w:val="0"/>
            <w:vAlign w:val="center"/>
          </w:tcPr>
          <w:p>
            <w:pPr>
              <w:spacing w:line="400" w:lineRule="exact"/>
              <w:jc w:val="center"/>
              <w:rPr>
                <w:rFonts w:hint="eastAsia" w:ascii="宋体" w:hAnsi="宋体"/>
                <w:color w:val="auto"/>
                <w:sz w:val="24"/>
                <w:szCs w:val="24"/>
                <w:highlight w:val="none"/>
              </w:rPr>
            </w:pPr>
          </w:p>
        </w:tc>
        <w:tc>
          <w:tcPr>
            <w:tcW w:w="1080" w:type="dxa"/>
            <w:noWrap w:val="0"/>
            <w:vAlign w:val="center"/>
          </w:tcPr>
          <w:p>
            <w:pPr>
              <w:spacing w:line="400" w:lineRule="exact"/>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620" w:type="dxa"/>
            <w:noWrap w:val="0"/>
            <w:vAlign w:val="center"/>
          </w:tcPr>
          <w:p>
            <w:pPr>
              <w:spacing w:line="400" w:lineRule="exact"/>
              <w:jc w:val="center"/>
              <w:rPr>
                <w:rFonts w:hint="eastAsia" w:ascii="宋体" w:hAnsi="宋体"/>
                <w:color w:val="auto"/>
                <w:sz w:val="24"/>
                <w:szCs w:val="24"/>
                <w:highlight w:val="none"/>
              </w:rPr>
            </w:pPr>
          </w:p>
        </w:tc>
        <w:tc>
          <w:tcPr>
            <w:tcW w:w="1718" w:type="dxa"/>
            <w:noWrap w:val="0"/>
            <w:vAlign w:val="center"/>
          </w:tcPr>
          <w:p>
            <w:pPr>
              <w:spacing w:line="400" w:lineRule="exact"/>
              <w:jc w:val="center"/>
              <w:rPr>
                <w:rFonts w:hint="eastAsia" w:ascii="宋体" w:hAnsi="宋体" w:eastAsia="宋体"/>
                <w:color w:val="auto"/>
                <w:sz w:val="24"/>
                <w:szCs w:val="24"/>
                <w:highlight w:val="none"/>
                <w:lang w:eastAsia="zh-CN"/>
              </w:rPr>
            </w:pPr>
          </w:p>
        </w:tc>
        <w:tc>
          <w:tcPr>
            <w:tcW w:w="1652" w:type="dxa"/>
            <w:noWrap w:val="0"/>
            <w:vAlign w:val="center"/>
          </w:tcPr>
          <w:p>
            <w:pPr>
              <w:spacing w:line="400" w:lineRule="exact"/>
              <w:jc w:val="center"/>
              <w:rPr>
                <w:rFonts w:hint="eastAsia" w:ascii="宋体" w:hAnsi="宋体"/>
                <w:color w:val="auto"/>
                <w:sz w:val="24"/>
                <w:szCs w:val="24"/>
                <w:highlight w:val="none"/>
              </w:rPr>
            </w:pPr>
          </w:p>
        </w:tc>
        <w:tc>
          <w:tcPr>
            <w:tcW w:w="1175" w:type="dxa"/>
            <w:noWrap w:val="0"/>
            <w:vAlign w:val="center"/>
          </w:tcPr>
          <w:p>
            <w:pPr>
              <w:spacing w:line="400" w:lineRule="exact"/>
              <w:jc w:val="center"/>
              <w:rPr>
                <w:rFonts w:hint="eastAsia" w:ascii="宋体" w:hAnsi="宋体"/>
                <w:color w:val="auto"/>
                <w:sz w:val="24"/>
                <w:szCs w:val="24"/>
                <w:highlight w:val="none"/>
              </w:rPr>
            </w:pPr>
          </w:p>
        </w:tc>
        <w:tc>
          <w:tcPr>
            <w:tcW w:w="1120" w:type="dxa"/>
            <w:noWrap w:val="0"/>
            <w:vAlign w:val="center"/>
          </w:tcPr>
          <w:p>
            <w:pPr>
              <w:spacing w:line="400" w:lineRule="exact"/>
              <w:jc w:val="center"/>
              <w:rPr>
                <w:rFonts w:hint="eastAsia" w:ascii="宋体" w:hAnsi="宋体"/>
                <w:color w:val="auto"/>
                <w:sz w:val="24"/>
                <w:szCs w:val="24"/>
                <w:highlight w:val="none"/>
              </w:rPr>
            </w:pPr>
          </w:p>
        </w:tc>
        <w:tc>
          <w:tcPr>
            <w:tcW w:w="1199" w:type="dxa"/>
            <w:noWrap w:val="0"/>
            <w:vAlign w:val="center"/>
          </w:tcPr>
          <w:p>
            <w:pPr>
              <w:spacing w:line="400" w:lineRule="exact"/>
              <w:jc w:val="center"/>
              <w:rPr>
                <w:rFonts w:hint="eastAsia" w:ascii="宋体" w:hAnsi="宋体"/>
                <w:color w:val="auto"/>
                <w:sz w:val="24"/>
                <w:szCs w:val="24"/>
                <w:highlight w:val="none"/>
              </w:rPr>
            </w:pPr>
          </w:p>
        </w:tc>
        <w:tc>
          <w:tcPr>
            <w:tcW w:w="1080" w:type="dxa"/>
            <w:noWrap w:val="0"/>
            <w:vAlign w:val="center"/>
          </w:tcPr>
          <w:p>
            <w:pPr>
              <w:spacing w:line="400" w:lineRule="exact"/>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620" w:type="dxa"/>
            <w:noWrap w:val="0"/>
            <w:vAlign w:val="center"/>
          </w:tcPr>
          <w:p>
            <w:pPr>
              <w:spacing w:line="400" w:lineRule="exact"/>
              <w:jc w:val="center"/>
              <w:rPr>
                <w:rFonts w:hint="eastAsia" w:ascii="宋体" w:hAnsi="宋体"/>
                <w:color w:val="auto"/>
                <w:sz w:val="24"/>
                <w:szCs w:val="24"/>
                <w:highlight w:val="none"/>
              </w:rPr>
            </w:pPr>
          </w:p>
        </w:tc>
        <w:tc>
          <w:tcPr>
            <w:tcW w:w="1718" w:type="dxa"/>
            <w:noWrap w:val="0"/>
            <w:vAlign w:val="center"/>
          </w:tcPr>
          <w:p>
            <w:pPr>
              <w:spacing w:line="400" w:lineRule="exact"/>
              <w:jc w:val="center"/>
              <w:rPr>
                <w:rFonts w:hint="eastAsia" w:ascii="宋体" w:hAnsi="宋体" w:eastAsia="宋体"/>
                <w:color w:val="auto"/>
                <w:sz w:val="24"/>
                <w:szCs w:val="24"/>
                <w:highlight w:val="none"/>
                <w:lang w:eastAsia="zh-CN"/>
              </w:rPr>
            </w:pPr>
          </w:p>
        </w:tc>
        <w:tc>
          <w:tcPr>
            <w:tcW w:w="1652" w:type="dxa"/>
            <w:noWrap w:val="0"/>
            <w:vAlign w:val="center"/>
          </w:tcPr>
          <w:p>
            <w:pPr>
              <w:spacing w:line="400" w:lineRule="exact"/>
              <w:jc w:val="center"/>
              <w:rPr>
                <w:rFonts w:hint="eastAsia" w:ascii="宋体" w:hAnsi="宋体"/>
                <w:color w:val="auto"/>
                <w:sz w:val="24"/>
                <w:szCs w:val="24"/>
                <w:highlight w:val="none"/>
              </w:rPr>
            </w:pPr>
          </w:p>
        </w:tc>
        <w:tc>
          <w:tcPr>
            <w:tcW w:w="1175" w:type="dxa"/>
            <w:noWrap w:val="0"/>
            <w:vAlign w:val="center"/>
          </w:tcPr>
          <w:p>
            <w:pPr>
              <w:spacing w:line="400" w:lineRule="exact"/>
              <w:jc w:val="center"/>
              <w:rPr>
                <w:rFonts w:hint="eastAsia" w:ascii="宋体" w:hAnsi="宋体"/>
                <w:color w:val="auto"/>
                <w:sz w:val="24"/>
                <w:szCs w:val="24"/>
                <w:highlight w:val="none"/>
              </w:rPr>
            </w:pPr>
          </w:p>
        </w:tc>
        <w:tc>
          <w:tcPr>
            <w:tcW w:w="1120" w:type="dxa"/>
            <w:noWrap w:val="0"/>
            <w:vAlign w:val="center"/>
          </w:tcPr>
          <w:p>
            <w:pPr>
              <w:spacing w:line="400" w:lineRule="exact"/>
              <w:jc w:val="center"/>
              <w:rPr>
                <w:rFonts w:hint="eastAsia" w:ascii="宋体" w:hAnsi="宋体"/>
                <w:color w:val="auto"/>
                <w:sz w:val="24"/>
                <w:szCs w:val="24"/>
                <w:highlight w:val="none"/>
              </w:rPr>
            </w:pPr>
          </w:p>
        </w:tc>
        <w:tc>
          <w:tcPr>
            <w:tcW w:w="1199" w:type="dxa"/>
            <w:noWrap w:val="0"/>
            <w:vAlign w:val="center"/>
          </w:tcPr>
          <w:p>
            <w:pPr>
              <w:spacing w:line="400" w:lineRule="exact"/>
              <w:jc w:val="center"/>
              <w:rPr>
                <w:rFonts w:hint="eastAsia" w:ascii="宋体" w:hAnsi="宋体"/>
                <w:color w:val="auto"/>
                <w:sz w:val="24"/>
                <w:szCs w:val="24"/>
                <w:highlight w:val="none"/>
              </w:rPr>
            </w:pPr>
          </w:p>
        </w:tc>
        <w:tc>
          <w:tcPr>
            <w:tcW w:w="1080" w:type="dxa"/>
            <w:noWrap w:val="0"/>
            <w:vAlign w:val="center"/>
          </w:tcPr>
          <w:p>
            <w:pPr>
              <w:spacing w:line="400" w:lineRule="exact"/>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5" w:hRule="atLeast"/>
          <w:jc w:val="center"/>
        </w:trPr>
        <w:tc>
          <w:tcPr>
            <w:tcW w:w="620" w:type="dxa"/>
            <w:noWrap w:val="0"/>
            <w:vAlign w:val="center"/>
          </w:tcPr>
          <w:p>
            <w:pPr>
              <w:spacing w:line="400" w:lineRule="exact"/>
              <w:jc w:val="center"/>
              <w:rPr>
                <w:rFonts w:hint="eastAsia" w:ascii="宋体" w:hAnsi="宋体"/>
                <w:color w:val="auto"/>
                <w:sz w:val="24"/>
                <w:szCs w:val="24"/>
                <w:highlight w:val="none"/>
              </w:rPr>
            </w:pPr>
          </w:p>
        </w:tc>
        <w:tc>
          <w:tcPr>
            <w:tcW w:w="1718" w:type="dxa"/>
            <w:noWrap w:val="0"/>
            <w:vAlign w:val="center"/>
          </w:tcPr>
          <w:p>
            <w:pPr>
              <w:spacing w:line="400" w:lineRule="exact"/>
              <w:jc w:val="center"/>
              <w:rPr>
                <w:rFonts w:hint="eastAsia" w:ascii="宋体" w:hAnsi="宋体" w:eastAsia="宋体"/>
                <w:color w:val="auto"/>
                <w:sz w:val="24"/>
                <w:szCs w:val="24"/>
                <w:highlight w:val="none"/>
                <w:lang w:eastAsia="zh-CN"/>
              </w:rPr>
            </w:pPr>
          </w:p>
        </w:tc>
        <w:tc>
          <w:tcPr>
            <w:tcW w:w="1652" w:type="dxa"/>
            <w:noWrap w:val="0"/>
            <w:vAlign w:val="center"/>
          </w:tcPr>
          <w:p>
            <w:pPr>
              <w:spacing w:line="400" w:lineRule="exact"/>
              <w:jc w:val="center"/>
              <w:rPr>
                <w:rFonts w:hint="eastAsia" w:ascii="宋体" w:hAnsi="宋体"/>
                <w:color w:val="auto"/>
                <w:sz w:val="24"/>
                <w:szCs w:val="24"/>
                <w:highlight w:val="none"/>
              </w:rPr>
            </w:pPr>
          </w:p>
        </w:tc>
        <w:tc>
          <w:tcPr>
            <w:tcW w:w="1175" w:type="dxa"/>
            <w:noWrap w:val="0"/>
            <w:vAlign w:val="center"/>
          </w:tcPr>
          <w:p>
            <w:pPr>
              <w:spacing w:line="400" w:lineRule="exact"/>
              <w:jc w:val="center"/>
              <w:rPr>
                <w:rFonts w:hint="eastAsia" w:ascii="宋体" w:hAnsi="宋体"/>
                <w:color w:val="auto"/>
                <w:sz w:val="24"/>
                <w:szCs w:val="24"/>
                <w:highlight w:val="none"/>
              </w:rPr>
            </w:pPr>
          </w:p>
        </w:tc>
        <w:tc>
          <w:tcPr>
            <w:tcW w:w="1120" w:type="dxa"/>
            <w:noWrap w:val="0"/>
            <w:vAlign w:val="center"/>
          </w:tcPr>
          <w:p>
            <w:pPr>
              <w:spacing w:line="400" w:lineRule="exact"/>
              <w:jc w:val="center"/>
              <w:rPr>
                <w:rFonts w:hint="eastAsia" w:ascii="宋体" w:hAnsi="宋体"/>
                <w:color w:val="auto"/>
                <w:sz w:val="24"/>
                <w:szCs w:val="24"/>
                <w:highlight w:val="none"/>
              </w:rPr>
            </w:pPr>
          </w:p>
        </w:tc>
        <w:tc>
          <w:tcPr>
            <w:tcW w:w="1199" w:type="dxa"/>
            <w:noWrap w:val="0"/>
            <w:vAlign w:val="center"/>
          </w:tcPr>
          <w:p>
            <w:pPr>
              <w:spacing w:line="400" w:lineRule="exact"/>
              <w:jc w:val="center"/>
              <w:rPr>
                <w:rFonts w:hint="eastAsia" w:ascii="宋体" w:hAnsi="宋体"/>
                <w:color w:val="auto"/>
                <w:sz w:val="24"/>
                <w:szCs w:val="24"/>
                <w:highlight w:val="none"/>
              </w:rPr>
            </w:pPr>
          </w:p>
        </w:tc>
        <w:tc>
          <w:tcPr>
            <w:tcW w:w="1080" w:type="dxa"/>
            <w:noWrap w:val="0"/>
            <w:vAlign w:val="center"/>
          </w:tcPr>
          <w:p>
            <w:pPr>
              <w:spacing w:line="400" w:lineRule="exact"/>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5" w:hRule="atLeast"/>
          <w:jc w:val="center"/>
        </w:trPr>
        <w:tc>
          <w:tcPr>
            <w:tcW w:w="620" w:type="dxa"/>
            <w:noWrap w:val="0"/>
            <w:vAlign w:val="center"/>
          </w:tcPr>
          <w:p>
            <w:pPr>
              <w:spacing w:line="400" w:lineRule="exact"/>
              <w:jc w:val="center"/>
              <w:rPr>
                <w:rFonts w:hint="eastAsia" w:ascii="宋体" w:hAnsi="宋体"/>
                <w:color w:val="auto"/>
                <w:sz w:val="24"/>
                <w:szCs w:val="24"/>
                <w:highlight w:val="none"/>
              </w:rPr>
            </w:pPr>
          </w:p>
        </w:tc>
        <w:tc>
          <w:tcPr>
            <w:tcW w:w="1718" w:type="dxa"/>
            <w:noWrap w:val="0"/>
            <w:vAlign w:val="center"/>
          </w:tcPr>
          <w:p>
            <w:pPr>
              <w:spacing w:line="400" w:lineRule="exact"/>
              <w:jc w:val="center"/>
              <w:rPr>
                <w:rFonts w:hint="eastAsia" w:ascii="宋体" w:hAnsi="宋体" w:eastAsia="宋体"/>
                <w:color w:val="auto"/>
                <w:sz w:val="24"/>
                <w:szCs w:val="24"/>
                <w:highlight w:val="none"/>
                <w:lang w:eastAsia="zh-CN"/>
              </w:rPr>
            </w:pPr>
          </w:p>
        </w:tc>
        <w:tc>
          <w:tcPr>
            <w:tcW w:w="1652" w:type="dxa"/>
            <w:noWrap w:val="0"/>
            <w:vAlign w:val="center"/>
          </w:tcPr>
          <w:p>
            <w:pPr>
              <w:spacing w:line="400" w:lineRule="exact"/>
              <w:jc w:val="center"/>
              <w:rPr>
                <w:rFonts w:hint="eastAsia" w:ascii="宋体" w:hAnsi="宋体"/>
                <w:color w:val="auto"/>
                <w:sz w:val="24"/>
                <w:szCs w:val="24"/>
                <w:highlight w:val="none"/>
              </w:rPr>
            </w:pPr>
          </w:p>
        </w:tc>
        <w:tc>
          <w:tcPr>
            <w:tcW w:w="1175" w:type="dxa"/>
            <w:noWrap w:val="0"/>
            <w:vAlign w:val="center"/>
          </w:tcPr>
          <w:p>
            <w:pPr>
              <w:spacing w:line="400" w:lineRule="exact"/>
              <w:jc w:val="center"/>
              <w:rPr>
                <w:rFonts w:hint="eastAsia" w:ascii="宋体" w:hAnsi="宋体"/>
                <w:color w:val="auto"/>
                <w:sz w:val="24"/>
                <w:szCs w:val="24"/>
                <w:highlight w:val="none"/>
              </w:rPr>
            </w:pPr>
          </w:p>
        </w:tc>
        <w:tc>
          <w:tcPr>
            <w:tcW w:w="1120" w:type="dxa"/>
            <w:noWrap w:val="0"/>
            <w:vAlign w:val="center"/>
          </w:tcPr>
          <w:p>
            <w:pPr>
              <w:spacing w:line="400" w:lineRule="exact"/>
              <w:jc w:val="center"/>
              <w:rPr>
                <w:rFonts w:hint="eastAsia" w:ascii="宋体" w:hAnsi="宋体"/>
                <w:color w:val="auto"/>
                <w:sz w:val="24"/>
                <w:szCs w:val="24"/>
                <w:highlight w:val="none"/>
              </w:rPr>
            </w:pPr>
          </w:p>
        </w:tc>
        <w:tc>
          <w:tcPr>
            <w:tcW w:w="1199" w:type="dxa"/>
            <w:noWrap w:val="0"/>
            <w:vAlign w:val="center"/>
          </w:tcPr>
          <w:p>
            <w:pPr>
              <w:spacing w:line="400" w:lineRule="exact"/>
              <w:jc w:val="center"/>
              <w:rPr>
                <w:rFonts w:hint="eastAsia" w:ascii="宋体" w:hAnsi="宋体"/>
                <w:color w:val="auto"/>
                <w:sz w:val="24"/>
                <w:szCs w:val="24"/>
                <w:highlight w:val="none"/>
              </w:rPr>
            </w:pPr>
          </w:p>
        </w:tc>
        <w:tc>
          <w:tcPr>
            <w:tcW w:w="1080" w:type="dxa"/>
            <w:noWrap w:val="0"/>
            <w:vAlign w:val="center"/>
          </w:tcPr>
          <w:p>
            <w:pPr>
              <w:spacing w:line="400" w:lineRule="exact"/>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620" w:type="dxa"/>
            <w:noWrap w:val="0"/>
            <w:vAlign w:val="center"/>
          </w:tcPr>
          <w:p>
            <w:pPr>
              <w:spacing w:line="400" w:lineRule="exact"/>
              <w:jc w:val="center"/>
              <w:rPr>
                <w:rFonts w:hint="eastAsia" w:ascii="宋体" w:hAnsi="宋体"/>
                <w:color w:val="auto"/>
                <w:sz w:val="24"/>
                <w:szCs w:val="24"/>
                <w:highlight w:val="none"/>
              </w:rPr>
            </w:pPr>
          </w:p>
        </w:tc>
        <w:tc>
          <w:tcPr>
            <w:tcW w:w="1718" w:type="dxa"/>
            <w:noWrap w:val="0"/>
            <w:vAlign w:val="center"/>
          </w:tcPr>
          <w:p>
            <w:pPr>
              <w:spacing w:line="400" w:lineRule="exact"/>
              <w:jc w:val="center"/>
              <w:rPr>
                <w:rFonts w:hint="eastAsia" w:ascii="宋体" w:hAnsi="宋体"/>
                <w:color w:val="auto"/>
                <w:sz w:val="24"/>
                <w:szCs w:val="24"/>
                <w:highlight w:val="none"/>
              </w:rPr>
            </w:pPr>
          </w:p>
        </w:tc>
        <w:tc>
          <w:tcPr>
            <w:tcW w:w="1652" w:type="dxa"/>
            <w:noWrap w:val="0"/>
            <w:vAlign w:val="center"/>
          </w:tcPr>
          <w:p>
            <w:pPr>
              <w:spacing w:line="400" w:lineRule="exact"/>
              <w:jc w:val="center"/>
              <w:rPr>
                <w:rFonts w:hint="eastAsia" w:ascii="宋体" w:hAnsi="宋体"/>
                <w:color w:val="auto"/>
                <w:sz w:val="24"/>
                <w:szCs w:val="24"/>
                <w:highlight w:val="none"/>
              </w:rPr>
            </w:pPr>
          </w:p>
        </w:tc>
        <w:tc>
          <w:tcPr>
            <w:tcW w:w="1175" w:type="dxa"/>
            <w:noWrap w:val="0"/>
            <w:vAlign w:val="center"/>
          </w:tcPr>
          <w:p>
            <w:pPr>
              <w:spacing w:line="400" w:lineRule="exact"/>
              <w:jc w:val="center"/>
              <w:rPr>
                <w:rFonts w:hint="eastAsia" w:ascii="宋体" w:hAnsi="宋体"/>
                <w:color w:val="auto"/>
                <w:sz w:val="24"/>
                <w:szCs w:val="24"/>
                <w:highlight w:val="none"/>
              </w:rPr>
            </w:pPr>
          </w:p>
        </w:tc>
        <w:tc>
          <w:tcPr>
            <w:tcW w:w="1120" w:type="dxa"/>
            <w:noWrap w:val="0"/>
            <w:vAlign w:val="center"/>
          </w:tcPr>
          <w:p>
            <w:pPr>
              <w:spacing w:line="400" w:lineRule="exact"/>
              <w:jc w:val="center"/>
              <w:rPr>
                <w:rFonts w:hint="eastAsia" w:ascii="宋体" w:hAnsi="宋体"/>
                <w:color w:val="auto"/>
                <w:sz w:val="24"/>
                <w:szCs w:val="24"/>
                <w:highlight w:val="none"/>
              </w:rPr>
            </w:pPr>
          </w:p>
        </w:tc>
        <w:tc>
          <w:tcPr>
            <w:tcW w:w="1199" w:type="dxa"/>
            <w:noWrap w:val="0"/>
            <w:vAlign w:val="center"/>
          </w:tcPr>
          <w:p>
            <w:pPr>
              <w:spacing w:line="400" w:lineRule="exact"/>
              <w:jc w:val="center"/>
              <w:rPr>
                <w:rFonts w:hint="eastAsia" w:ascii="宋体" w:hAnsi="宋体"/>
                <w:color w:val="auto"/>
                <w:sz w:val="24"/>
                <w:szCs w:val="24"/>
                <w:highlight w:val="none"/>
              </w:rPr>
            </w:pPr>
          </w:p>
        </w:tc>
        <w:tc>
          <w:tcPr>
            <w:tcW w:w="1080" w:type="dxa"/>
            <w:noWrap w:val="0"/>
            <w:vAlign w:val="center"/>
          </w:tcPr>
          <w:p>
            <w:pPr>
              <w:spacing w:line="400" w:lineRule="exact"/>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620" w:type="dxa"/>
            <w:noWrap w:val="0"/>
            <w:vAlign w:val="center"/>
          </w:tcPr>
          <w:p>
            <w:pPr>
              <w:spacing w:line="400" w:lineRule="exact"/>
              <w:jc w:val="center"/>
              <w:rPr>
                <w:rFonts w:hint="eastAsia" w:ascii="宋体" w:hAnsi="宋体"/>
                <w:color w:val="auto"/>
                <w:sz w:val="24"/>
                <w:szCs w:val="24"/>
                <w:highlight w:val="none"/>
              </w:rPr>
            </w:pPr>
          </w:p>
        </w:tc>
        <w:tc>
          <w:tcPr>
            <w:tcW w:w="1718" w:type="dxa"/>
            <w:noWrap w:val="0"/>
            <w:vAlign w:val="center"/>
          </w:tcPr>
          <w:p>
            <w:pPr>
              <w:spacing w:line="400" w:lineRule="exact"/>
              <w:jc w:val="center"/>
              <w:rPr>
                <w:rFonts w:hint="eastAsia" w:ascii="宋体" w:hAnsi="宋体"/>
                <w:color w:val="auto"/>
                <w:sz w:val="24"/>
                <w:szCs w:val="24"/>
                <w:highlight w:val="none"/>
              </w:rPr>
            </w:pPr>
          </w:p>
        </w:tc>
        <w:tc>
          <w:tcPr>
            <w:tcW w:w="1652" w:type="dxa"/>
            <w:noWrap w:val="0"/>
            <w:vAlign w:val="center"/>
          </w:tcPr>
          <w:p>
            <w:pPr>
              <w:spacing w:line="400" w:lineRule="exact"/>
              <w:jc w:val="center"/>
              <w:rPr>
                <w:rFonts w:hint="eastAsia" w:ascii="宋体" w:hAnsi="宋体"/>
                <w:color w:val="auto"/>
                <w:sz w:val="24"/>
                <w:szCs w:val="24"/>
                <w:highlight w:val="none"/>
              </w:rPr>
            </w:pPr>
          </w:p>
        </w:tc>
        <w:tc>
          <w:tcPr>
            <w:tcW w:w="1175" w:type="dxa"/>
            <w:noWrap w:val="0"/>
            <w:vAlign w:val="center"/>
          </w:tcPr>
          <w:p>
            <w:pPr>
              <w:spacing w:line="400" w:lineRule="exact"/>
              <w:jc w:val="center"/>
              <w:rPr>
                <w:rFonts w:hint="eastAsia" w:ascii="宋体" w:hAnsi="宋体"/>
                <w:color w:val="auto"/>
                <w:sz w:val="24"/>
                <w:szCs w:val="24"/>
                <w:highlight w:val="none"/>
              </w:rPr>
            </w:pPr>
          </w:p>
        </w:tc>
        <w:tc>
          <w:tcPr>
            <w:tcW w:w="1120" w:type="dxa"/>
            <w:noWrap w:val="0"/>
            <w:vAlign w:val="center"/>
          </w:tcPr>
          <w:p>
            <w:pPr>
              <w:spacing w:line="400" w:lineRule="exact"/>
              <w:jc w:val="center"/>
              <w:rPr>
                <w:rFonts w:hint="eastAsia" w:ascii="宋体" w:hAnsi="宋体"/>
                <w:color w:val="auto"/>
                <w:sz w:val="24"/>
                <w:szCs w:val="24"/>
                <w:highlight w:val="none"/>
              </w:rPr>
            </w:pPr>
          </w:p>
        </w:tc>
        <w:tc>
          <w:tcPr>
            <w:tcW w:w="1199" w:type="dxa"/>
            <w:noWrap w:val="0"/>
            <w:vAlign w:val="center"/>
          </w:tcPr>
          <w:p>
            <w:pPr>
              <w:spacing w:line="400" w:lineRule="exact"/>
              <w:jc w:val="center"/>
              <w:rPr>
                <w:rFonts w:hint="eastAsia" w:ascii="宋体" w:hAnsi="宋体"/>
                <w:color w:val="auto"/>
                <w:sz w:val="24"/>
                <w:szCs w:val="24"/>
                <w:highlight w:val="none"/>
              </w:rPr>
            </w:pPr>
          </w:p>
        </w:tc>
        <w:tc>
          <w:tcPr>
            <w:tcW w:w="1080" w:type="dxa"/>
            <w:noWrap w:val="0"/>
            <w:vAlign w:val="center"/>
          </w:tcPr>
          <w:p>
            <w:pPr>
              <w:spacing w:line="400" w:lineRule="exact"/>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5" w:hRule="atLeast"/>
          <w:jc w:val="center"/>
        </w:trPr>
        <w:tc>
          <w:tcPr>
            <w:tcW w:w="620" w:type="dxa"/>
            <w:noWrap w:val="0"/>
            <w:vAlign w:val="center"/>
          </w:tcPr>
          <w:p>
            <w:pPr>
              <w:spacing w:line="400" w:lineRule="exact"/>
              <w:jc w:val="center"/>
              <w:rPr>
                <w:rFonts w:hint="eastAsia" w:ascii="宋体" w:hAnsi="宋体"/>
                <w:color w:val="auto"/>
                <w:sz w:val="24"/>
                <w:szCs w:val="24"/>
                <w:highlight w:val="none"/>
              </w:rPr>
            </w:pPr>
          </w:p>
        </w:tc>
        <w:tc>
          <w:tcPr>
            <w:tcW w:w="1718" w:type="dxa"/>
            <w:noWrap w:val="0"/>
            <w:vAlign w:val="center"/>
          </w:tcPr>
          <w:p>
            <w:pPr>
              <w:spacing w:line="400" w:lineRule="exact"/>
              <w:jc w:val="center"/>
              <w:rPr>
                <w:rFonts w:hint="eastAsia" w:ascii="宋体" w:hAnsi="宋体"/>
                <w:color w:val="auto"/>
                <w:sz w:val="24"/>
                <w:szCs w:val="24"/>
                <w:highlight w:val="none"/>
              </w:rPr>
            </w:pPr>
            <w:r>
              <w:rPr>
                <w:rFonts w:hint="eastAsia" w:ascii="宋体" w:hAnsi="宋体"/>
                <w:color w:val="auto"/>
                <w:sz w:val="24"/>
                <w:szCs w:val="24"/>
                <w:highlight w:val="none"/>
                <w:lang w:eastAsia="zh-CN"/>
              </w:rPr>
              <w:t>其他辅助人员</w:t>
            </w:r>
          </w:p>
        </w:tc>
        <w:tc>
          <w:tcPr>
            <w:tcW w:w="1652" w:type="dxa"/>
            <w:noWrap w:val="0"/>
            <w:vAlign w:val="center"/>
          </w:tcPr>
          <w:p>
            <w:pPr>
              <w:spacing w:line="400" w:lineRule="exact"/>
              <w:jc w:val="center"/>
              <w:rPr>
                <w:rFonts w:hint="eastAsia" w:ascii="宋体" w:hAnsi="宋体"/>
                <w:color w:val="auto"/>
                <w:sz w:val="24"/>
                <w:szCs w:val="24"/>
                <w:highlight w:val="none"/>
              </w:rPr>
            </w:pPr>
          </w:p>
        </w:tc>
        <w:tc>
          <w:tcPr>
            <w:tcW w:w="1175" w:type="dxa"/>
            <w:noWrap w:val="0"/>
            <w:vAlign w:val="center"/>
          </w:tcPr>
          <w:p>
            <w:pPr>
              <w:spacing w:line="400" w:lineRule="exact"/>
              <w:jc w:val="center"/>
              <w:rPr>
                <w:rFonts w:hint="eastAsia" w:ascii="宋体" w:hAnsi="宋体"/>
                <w:color w:val="auto"/>
                <w:sz w:val="24"/>
                <w:szCs w:val="24"/>
                <w:highlight w:val="none"/>
              </w:rPr>
            </w:pPr>
          </w:p>
        </w:tc>
        <w:tc>
          <w:tcPr>
            <w:tcW w:w="1120" w:type="dxa"/>
            <w:noWrap w:val="0"/>
            <w:vAlign w:val="center"/>
          </w:tcPr>
          <w:p>
            <w:pPr>
              <w:spacing w:line="400" w:lineRule="exact"/>
              <w:jc w:val="center"/>
              <w:rPr>
                <w:rFonts w:hint="eastAsia" w:ascii="宋体" w:hAnsi="宋体"/>
                <w:color w:val="auto"/>
                <w:sz w:val="24"/>
                <w:szCs w:val="24"/>
                <w:highlight w:val="none"/>
              </w:rPr>
            </w:pPr>
          </w:p>
        </w:tc>
        <w:tc>
          <w:tcPr>
            <w:tcW w:w="1199" w:type="dxa"/>
            <w:noWrap w:val="0"/>
            <w:vAlign w:val="center"/>
          </w:tcPr>
          <w:p>
            <w:pPr>
              <w:spacing w:line="400" w:lineRule="exact"/>
              <w:jc w:val="center"/>
              <w:rPr>
                <w:rFonts w:hint="eastAsia" w:ascii="宋体" w:hAnsi="宋体"/>
                <w:color w:val="auto"/>
                <w:sz w:val="24"/>
                <w:szCs w:val="24"/>
                <w:highlight w:val="none"/>
              </w:rPr>
            </w:pPr>
          </w:p>
        </w:tc>
        <w:tc>
          <w:tcPr>
            <w:tcW w:w="1080" w:type="dxa"/>
            <w:noWrap w:val="0"/>
            <w:vAlign w:val="center"/>
          </w:tcPr>
          <w:p>
            <w:pPr>
              <w:spacing w:line="400" w:lineRule="exact"/>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5" w:hRule="atLeast"/>
          <w:jc w:val="center"/>
        </w:trPr>
        <w:tc>
          <w:tcPr>
            <w:tcW w:w="620" w:type="dxa"/>
            <w:noWrap w:val="0"/>
            <w:vAlign w:val="center"/>
          </w:tcPr>
          <w:p>
            <w:pPr>
              <w:spacing w:line="400" w:lineRule="exact"/>
              <w:jc w:val="center"/>
              <w:rPr>
                <w:rFonts w:hint="eastAsia" w:ascii="宋体" w:hAnsi="宋体"/>
                <w:color w:val="auto"/>
                <w:sz w:val="24"/>
                <w:szCs w:val="24"/>
                <w:highlight w:val="none"/>
              </w:rPr>
            </w:pPr>
          </w:p>
        </w:tc>
        <w:tc>
          <w:tcPr>
            <w:tcW w:w="1718" w:type="dxa"/>
            <w:noWrap w:val="0"/>
            <w:vAlign w:val="center"/>
          </w:tcPr>
          <w:p>
            <w:pPr>
              <w:spacing w:line="400" w:lineRule="exact"/>
              <w:jc w:val="center"/>
              <w:rPr>
                <w:rFonts w:hint="eastAsia" w:ascii="宋体" w:hAnsi="宋体"/>
                <w:color w:val="auto"/>
                <w:sz w:val="24"/>
                <w:szCs w:val="24"/>
                <w:highlight w:val="none"/>
              </w:rPr>
            </w:pPr>
            <w:r>
              <w:rPr>
                <w:rFonts w:hint="eastAsia" w:ascii="宋体" w:hAnsi="宋体"/>
                <w:color w:val="auto"/>
                <w:sz w:val="24"/>
                <w:szCs w:val="24"/>
                <w:highlight w:val="none"/>
                <w:lang w:eastAsia="zh-CN"/>
              </w:rPr>
              <w:t>……</w:t>
            </w:r>
          </w:p>
        </w:tc>
        <w:tc>
          <w:tcPr>
            <w:tcW w:w="1652" w:type="dxa"/>
            <w:noWrap w:val="0"/>
            <w:vAlign w:val="center"/>
          </w:tcPr>
          <w:p>
            <w:pPr>
              <w:spacing w:line="400" w:lineRule="exact"/>
              <w:jc w:val="center"/>
              <w:rPr>
                <w:rFonts w:hint="eastAsia" w:ascii="宋体" w:hAnsi="宋体"/>
                <w:color w:val="auto"/>
                <w:sz w:val="24"/>
                <w:szCs w:val="24"/>
                <w:highlight w:val="none"/>
              </w:rPr>
            </w:pPr>
          </w:p>
        </w:tc>
        <w:tc>
          <w:tcPr>
            <w:tcW w:w="1175" w:type="dxa"/>
            <w:noWrap w:val="0"/>
            <w:vAlign w:val="center"/>
          </w:tcPr>
          <w:p>
            <w:pPr>
              <w:spacing w:line="400" w:lineRule="exact"/>
              <w:jc w:val="center"/>
              <w:rPr>
                <w:rFonts w:hint="eastAsia" w:ascii="宋体" w:hAnsi="宋体"/>
                <w:color w:val="auto"/>
                <w:sz w:val="24"/>
                <w:szCs w:val="24"/>
                <w:highlight w:val="none"/>
              </w:rPr>
            </w:pPr>
          </w:p>
        </w:tc>
        <w:tc>
          <w:tcPr>
            <w:tcW w:w="1120" w:type="dxa"/>
            <w:noWrap w:val="0"/>
            <w:vAlign w:val="center"/>
          </w:tcPr>
          <w:p>
            <w:pPr>
              <w:spacing w:line="400" w:lineRule="exact"/>
              <w:jc w:val="center"/>
              <w:rPr>
                <w:rFonts w:hint="eastAsia" w:ascii="宋体" w:hAnsi="宋体"/>
                <w:color w:val="auto"/>
                <w:sz w:val="24"/>
                <w:szCs w:val="24"/>
                <w:highlight w:val="none"/>
              </w:rPr>
            </w:pPr>
          </w:p>
        </w:tc>
        <w:tc>
          <w:tcPr>
            <w:tcW w:w="1199" w:type="dxa"/>
            <w:noWrap w:val="0"/>
            <w:vAlign w:val="center"/>
          </w:tcPr>
          <w:p>
            <w:pPr>
              <w:spacing w:line="400" w:lineRule="exact"/>
              <w:jc w:val="center"/>
              <w:rPr>
                <w:rFonts w:hint="eastAsia" w:ascii="宋体" w:hAnsi="宋体"/>
                <w:color w:val="auto"/>
                <w:sz w:val="24"/>
                <w:szCs w:val="24"/>
                <w:highlight w:val="none"/>
              </w:rPr>
            </w:pPr>
          </w:p>
        </w:tc>
        <w:tc>
          <w:tcPr>
            <w:tcW w:w="1080" w:type="dxa"/>
            <w:noWrap w:val="0"/>
            <w:vAlign w:val="center"/>
          </w:tcPr>
          <w:p>
            <w:pPr>
              <w:spacing w:line="400" w:lineRule="exact"/>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620" w:type="dxa"/>
            <w:noWrap w:val="0"/>
            <w:vAlign w:val="center"/>
          </w:tcPr>
          <w:p>
            <w:pPr>
              <w:spacing w:line="400" w:lineRule="exact"/>
              <w:jc w:val="center"/>
              <w:rPr>
                <w:rFonts w:hint="eastAsia" w:ascii="宋体" w:hAnsi="宋体"/>
                <w:color w:val="auto"/>
                <w:sz w:val="24"/>
                <w:szCs w:val="24"/>
                <w:highlight w:val="none"/>
              </w:rPr>
            </w:pPr>
          </w:p>
        </w:tc>
        <w:tc>
          <w:tcPr>
            <w:tcW w:w="1718" w:type="dxa"/>
            <w:noWrap w:val="0"/>
            <w:vAlign w:val="center"/>
          </w:tcPr>
          <w:p>
            <w:pPr>
              <w:spacing w:line="400" w:lineRule="exact"/>
              <w:jc w:val="center"/>
              <w:rPr>
                <w:rFonts w:hint="eastAsia" w:ascii="宋体" w:hAnsi="宋体" w:eastAsia="宋体"/>
                <w:color w:val="auto"/>
                <w:sz w:val="24"/>
                <w:szCs w:val="24"/>
                <w:highlight w:val="none"/>
                <w:lang w:eastAsia="zh-CN"/>
              </w:rPr>
            </w:pPr>
          </w:p>
        </w:tc>
        <w:tc>
          <w:tcPr>
            <w:tcW w:w="1652" w:type="dxa"/>
            <w:noWrap w:val="0"/>
            <w:vAlign w:val="center"/>
          </w:tcPr>
          <w:p>
            <w:pPr>
              <w:spacing w:line="400" w:lineRule="exact"/>
              <w:jc w:val="center"/>
              <w:rPr>
                <w:rFonts w:hint="eastAsia" w:ascii="宋体" w:hAnsi="宋体"/>
                <w:color w:val="auto"/>
                <w:sz w:val="24"/>
                <w:szCs w:val="24"/>
                <w:highlight w:val="none"/>
              </w:rPr>
            </w:pPr>
          </w:p>
        </w:tc>
        <w:tc>
          <w:tcPr>
            <w:tcW w:w="1175" w:type="dxa"/>
            <w:noWrap w:val="0"/>
            <w:vAlign w:val="center"/>
          </w:tcPr>
          <w:p>
            <w:pPr>
              <w:spacing w:line="400" w:lineRule="exact"/>
              <w:jc w:val="center"/>
              <w:rPr>
                <w:rFonts w:hint="eastAsia" w:ascii="宋体" w:hAnsi="宋体"/>
                <w:color w:val="auto"/>
                <w:sz w:val="24"/>
                <w:szCs w:val="24"/>
                <w:highlight w:val="none"/>
              </w:rPr>
            </w:pPr>
          </w:p>
        </w:tc>
        <w:tc>
          <w:tcPr>
            <w:tcW w:w="1120" w:type="dxa"/>
            <w:noWrap w:val="0"/>
            <w:vAlign w:val="center"/>
          </w:tcPr>
          <w:p>
            <w:pPr>
              <w:spacing w:line="400" w:lineRule="exact"/>
              <w:jc w:val="center"/>
              <w:rPr>
                <w:rFonts w:hint="eastAsia" w:ascii="宋体" w:hAnsi="宋体"/>
                <w:color w:val="auto"/>
                <w:sz w:val="24"/>
                <w:szCs w:val="24"/>
                <w:highlight w:val="none"/>
              </w:rPr>
            </w:pPr>
          </w:p>
        </w:tc>
        <w:tc>
          <w:tcPr>
            <w:tcW w:w="1199" w:type="dxa"/>
            <w:noWrap w:val="0"/>
            <w:vAlign w:val="center"/>
          </w:tcPr>
          <w:p>
            <w:pPr>
              <w:spacing w:line="400" w:lineRule="exact"/>
              <w:jc w:val="center"/>
              <w:rPr>
                <w:rFonts w:hint="eastAsia" w:ascii="宋体" w:hAnsi="宋体"/>
                <w:color w:val="auto"/>
                <w:sz w:val="24"/>
                <w:szCs w:val="24"/>
                <w:highlight w:val="none"/>
              </w:rPr>
            </w:pPr>
          </w:p>
        </w:tc>
        <w:tc>
          <w:tcPr>
            <w:tcW w:w="1080" w:type="dxa"/>
            <w:noWrap w:val="0"/>
            <w:vAlign w:val="center"/>
          </w:tcPr>
          <w:p>
            <w:pPr>
              <w:spacing w:line="400" w:lineRule="exact"/>
              <w:jc w:val="center"/>
              <w:rPr>
                <w:rFonts w:hint="eastAsia" w:ascii="宋体" w:hAnsi="宋体"/>
                <w:color w:val="auto"/>
                <w:sz w:val="24"/>
                <w:szCs w:val="24"/>
                <w:highlight w:val="none"/>
              </w:rPr>
            </w:pPr>
          </w:p>
        </w:tc>
      </w:tr>
    </w:tbl>
    <w:p>
      <w:pPr>
        <w:pStyle w:val="5"/>
        <w:numPr>
          <w:ilvl w:val="0"/>
          <w:numId w:val="0"/>
        </w:numPr>
        <w:rPr>
          <w:rFonts w:hint="default"/>
          <w:highlight w:val="none"/>
          <w:lang w:val="en-US" w:eastAsia="zh-CN"/>
        </w:rPr>
      </w:pPr>
    </w:p>
    <w:p>
      <w:pPr>
        <w:pStyle w:val="4"/>
        <w:spacing w:before="0" w:after="0" w:line="360" w:lineRule="auto"/>
        <w:jc w:val="center"/>
        <w:rPr>
          <w:rFonts w:hint="default" w:ascii="仿宋" w:hAnsi="仿宋" w:eastAsia="仿宋" w:cs="仿宋"/>
          <w:color w:val="auto"/>
          <w:sz w:val="28"/>
          <w:szCs w:val="28"/>
          <w:highlight w:val="none"/>
          <w:lang w:val="en-US" w:eastAsia="zh-CN"/>
        </w:rPr>
      </w:pPr>
      <w:r>
        <w:rPr>
          <w:rFonts w:hint="eastAsia" w:ascii="仿宋" w:hAnsi="仿宋" w:eastAsia="仿宋" w:cs="仿宋"/>
          <w:b/>
          <w:color w:val="auto"/>
          <w:sz w:val="32"/>
          <w:szCs w:val="30"/>
          <w:highlight w:val="none"/>
          <w:lang w:val="zh-CN" w:eastAsia="zh-CN"/>
        </w:rPr>
        <w:br w:type="page"/>
      </w:r>
      <w:r>
        <w:rPr>
          <w:rFonts w:hint="eastAsia" w:ascii="仿宋" w:hAnsi="仿宋" w:eastAsia="仿宋" w:cs="仿宋"/>
          <w:color w:val="auto"/>
          <w:sz w:val="28"/>
          <w:szCs w:val="28"/>
          <w:highlight w:val="none"/>
          <w:lang w:val="en-US" w:eastAsia="zh-CN"/>
        </w:rPr>
        <w:t>（</w:t>
      </w:r>
      <w:r>
        <w:rPr>
          <w:rFonts w:hint="eastAsia" w:cs="仿宋"/>
          <w:color w:val="auto"/>
          <w:sz w:val="28"/>
          <w:szCs w:val="28"/>
          <w:highlight w:val="none"/>
          <w:lang w:val="en-US" w:eastAsia="zh-CN"/>
        </w:rPr>
        <w:t>5</w:t>
      </w:r>
      <w:r>
        <w:rPr>
          <w:rFonts w:hint="eastAsia" w:ascii="仿宋" w:hAnsi="仿宋" w:eastAsia="仿宋" w:cs="仿宋"/>
          <w:color w:val="auto"/>
          <w:sz w:val="28"/>
          <w:szCs w:val="28"/>
          <w:highlight w:val="none"/>
          <w:lang w:val="en-US" w:eastAsia="zh-CN"/>
        </w:rPr>
        <w:t>）投标单位信誉情况</w:t>
      </w:r>
    </w:p>
    <w:p>
      <w:pPr>
        <w:spacing w:line="360" w:lineRule="auto"/>
        <w:jc w:val="left"/>
        <w:outlineLvl w:val="9"/>
        <w:rPr>
          <w:rFonts w:hint="eastAsia" w:ascii="仿宋" w:hAnsi="仿宋" w:eastAsia="仿宋" w:cs="Times New Roman"/>
          <w:bCs w:val="0"/>
          <w:kern w:val="2"/>
          <w:sz w:val="24"/>
          <w:szCs w:val="28"/>
          <w:highlight w:val="none"/>
          <w:lang w:val="en-US" w:eastAsia="zh-CN" w:bidi="ar-SA"/>
        </w:rPr>
      </w:pPr>
      <w:r>
        <w:rPr>
          <w:rFonts w:hint="eastAsia" w:ascii="仿宋" w:hAnsi="仿宋" w:eastAsia="仿宋" w:cs="Times New Roman"/>
          <w:bCs w:val="0"/>
          <w:kern w:val="2"/>
          <w:sz w:val="24"/>
          <w:szCs w:val="28"/>
          <w:highlight w:val="none"/>
          <w:lang w:val="en-US" w:eastAsia="zh-CN" w:bidi="ar-SA"/>
        </w:rPr>
        <w:t>（1）拒绝列入政府取消投标资格记录期间的企业或个人投标；</w:t>
      </w:r>
    </w:p>
    <w:p>
      <w:pPr>
        <w:spacing w:line="360" w:lineRule="auto"/>
        <w:jc w:val="left"/>
        <w:outlineLvl w:val="9"/>
        <w:rPr>
          <w:rFonts w:hint="eastAsia" w:ascii="仿宋" w:hAnsi="仿宋" w:eastAsia="仿宋" w:cs="Times New Roman"/>
          <w:bCs w:val="0"/>
          <w:kern w:val="2"/>
          <w:sz w:val="24"/>
          <w:szCs w:val="28"/>
          <w:highlight w:val="none"/>
          <w:lang w:val="en-US" w:eastAsia="zh-CN" w:bidi="ar-SA"/>
        </w:rPr>
      </w:pPr>
      <w:r>
        <w:rPr>
          <w:rFonts w:hint="eastAsia" w:ascii="仿宋" w:hAnsi="仿宋" w:eastAsia="仿宋" w:cs="Times New Roman"/>
          <w:bCs w:val="0"/>
          <w:kern w:val="2"/>
          <w:sz w:val="24"/>
          <w:szCs w:val="28"/>
          <w:highlight w:val="none"/>
          <w:lang w:val="en-US" w:eastAsia="zh-CN" w:bidi="ar-SA"/>
        </w:rPr>
        <w:t>（2）投标人未被工商行政管理机关在全国企业信用信息公示系统（www.gsxt.gov.cn）中列入严重违法失信企业名单；</w:t>
      </w:r>
    </w:p>
    <w:p>
      <w:pPr>
        <w:spacing w:line="360" w:lineRule="auto"/>
        <w:jc w:val="left"/>
        <w:outlineLvl w:val="9"/>
        <w:rPr>
          <w:rFonts w:hint="eastAsia" w:ascii="仿宋" w:hAnsi="仿宋" w:eastAsia="仿宋" w:cs="Times New Roman"/>
          <w:bCs w:val="0"/>
          <w:kern w:val="2"/>
          <w:sz w:val="24"/>
          <w:szCs w:val="28"/>
          <w:highlight w:val="none"/>
          <w:lang w:val="en-US" w:eastAsia="zh-CN" w:bidi="ar-SA"/>
        </w:rPr>
      </w:pPr>
      <w:r>
        <w:rPr>
          <w:rFonts w:hint="eastAsia" w:ascii="仿宋" w:hAnsi="仿宋" w:eastAsia="仿宋" w:cs="Times New Roman"/>
          <w:bCs w:val="0"/>
          <w:kern w:val="2"/>
          <w:sz w:val="24"/>
          <w:szCs w:val="28"/>
          <w:highlight w:val="none"/>
          <w:lang w:val="en-US" w:eastAsia="zh-CN" w:bidi="ar-SA"/>
        </w:rPr>
        <w:t>（3）投标人未被列入“失信被执行人、重大税收违法失信主体”的记录名单，通过“信用中国”网站（www.creditchina.gov.cn)查询；</w:t>
      </w:r>
    </w:p>
    <w:p>
      <w:pPr>
        <w:spacing w:line="360" w:lineRule="auto"/>
        <w:jc w:val="left"/>
        <w:outlineLvl w:val="9"/>
        <w:rPr>
          <w:rFonts w:hint="eastAsia" w:ascii="仿宋" w:hAnsi="仿宋" w:eastAsia="仿宋" w:cs="Times New Roman"/>
          <w:bCs w:val="0"/>
          <w:kern w:val="2"/>
          <w:sz w:val="24"/>
          <w:szCs w:val="28"/>
          <w:highlight w:val="none"/>
          <w:lang w:val="en-US" w:eastAsia="zh-CN" w:bidi="ar-SA"/>
        </w:rPr>
      </w:pPr>
      <w:r>
        <w:rPr>
          <w:rFonts w:hint="eastAsia" w:ascii="仿宋" w:hAnsi="仿宋" w:eastAsia="仿宋" w:cs="Times New Roman"/>
          <w:bCs w:val="0"/>
          <w:kern w:val="2"/>
          <w:sz w:val="24"/>
          <w:szCs w:val="28"/>
          <w:highlight w:val="none"/>
          <w:lang w:val="en-US" w:eastAsia="zh-CN" w:bidi="ar-SA"/>
        </w:rPr>
        <w:t>（4）投标人未被列入“政府采购严重违法失信行为记录名单”，通过“中国政府采购网”（www.ccgp.gov.cn）查询；</w:t>
      </w:r>
    </w:p>
    <w:p>
      <w:pPr>
        <w:spacing w:line="360" w:lineRule="auto"/>
        <w:jc w:val="left"/>
        <w:outlineLvl w:val="9"/>
        <w:rPr>
          <w:rFonts w:hint="eastAsia" w:ascii="仿宋" w:hAnsi="仿宋" w:eastAsia="仿宋" w:cs="Times New Roman"/>
          <w:bCs w:val="0"/>
          <w:kern w:val="2"/>
          <w:sz w:val="24"/>
          <w:szCs w:val="28"/>
          <w:highlight w:val="none"/>
          <w:lang w:val="en-US" w:eastAsia="zh-CN" w:bidi="ar-SA"/>
        </w:rPr>
      </w:pPr>
      <w:r>
        <w:rPr>
          <w:rFonts w:hint="eastAsia" w:ascii="仿宋" w:hAnsi="仿宋" w:eastAsia="仿宋" w:cs="Times New Roman"/>
          <w:bCs w:val="0"/>
          <w:kern w:val="2"/>
          <w:sz w:val="24"/>
          <w:szCs w:val="28"/>
          <w:highlight w:val="none"/>
          <w:lang w:val="en-US" w:eastAsia="zh-CN" w:bidi="ar-SA"/>
        </w:rPr>
        <w:t>（5）投标人和个人（指法定代表人、法人代理人）未在“中国裁判文书网”（wenshu.court.gov.cn）上有行贿犯罪行为；</w:t>
      </w:r>
    </w:p>
    <w:p>
      <w:pPr>
        <w:spacing w:line="360" w:lineRule="auto"/>
        <w:jc w:val="left"/>
        <w:outlineLvl w:val="9"/>
        <w:rPr>
          <w:rFonts w:hint="eastAsia"/>
          <w:b w:val="0"/>
          <w:bCs/>
          <w:sz w:val="24"/>
          <w:szCs w:val="24"/>
          <w:highlight w:val="none"/>
        </w:rPr>
      </w:pPr>
      <w:r>
        <w:rPr>
          <w:rFonts w:hint="eastAsia" w:ascii="仿宋" w:hAnsi="仿宋" w:eastAsia="仿宋" w:cs="Times New Roman"/>
          <w:bCs w:val="0"/>
          <w:kern w:val="2"/>
          <w:sz w:val="24"/>
          <w:szCs w:val="28"/>
          <w:highlight w:val="none"/>
          <w:lang w:val="en-US" w:eastAsia="zh-CN" w:bidi="ar-SA"/>
        </w:rPr>
        <w:t>投标文件内（1）-（5）附由法定代表人或其委托代理人签字并加盖供应商公章的承诺书</w:t>
      </w:r>
      <w:r>
        <w:rPr>
          <w:rFonts w:hint="eastAsia"/>
          <w:b w:val="0"/>
          <w:bCs/>
          <w:sz w:val="24"/>
          <w:szCs w:val="24"/>
          <w:highlight w:val="none"/>
        </w:rPr>
        <w:t>。</w:t>
      </w:r>
    </w:p>
    <w:p>
      <w:pPr>
        <w:rPr>
          <w:rFonts w:hint="eastAsia"/>
          <w:b w:val="0"/>
          <w:bCs/>
          <w:sz w:val="24"/>
          <w:szCs w:val="24"/>
          <w:highlight w:val="none"/>
        </w:rPr>
      </w:pPr>
      <w:r>
        <w:rPr>
          <w:rFonts w:hint="eastAsia" w:ascii="仿宋" w:hAnsi="仿宋" w:eastAsia="仿宋" w:cs="仿宋"/>
          <w:color w:val="auto"/>
          <w:sz w:val="28"/>
          <w:szCs w:val="28"/>
          <w:highlight w:val="none"/>
          <w:lang w:val="en-US" w:eastAsia="zh-CN"/>
        </w:rPr>
        <w:br w:type="page"/>
      </w:r>
    </w:p>
    <w:p>
      <w:pPr>
        <w:jc w:val="center"/>
        <w:rPr>
          <w:rFonts w:hint="eastAsia" w:ascii="仿宋" w:hAnsi="仿宋" w:eastAsia="仿宋" w:cs="仿宋"/>
          <w:b/>
          <w:bCs/>
          <w:color w:val="auto"/>
          <w:kern w:val="0"/>
          <w:sz w:val="28"/>
          <w:szCs w:val="28"/>
          <w:highlight w:val="none"/>
          <w:lang w:val="en-US" w:eastAsia="zh-CN" w:bidi="ar-SA"/>
        </w:rPr>
      </w:pPr>
      <w:r>
        <w:rPr>
          <w:rFonts w:hint="eastAsia" w:ascii="仿宋" w:hAnsi="仿宋" w:eastAsia="仿宋" w:cs="仿宋"/>
          <w:b/>
          <w:bCs/>
          <w:color w:val="auto"/>
          <w:kern w:val="0"/>
          <w:sz w:val="28"/>
          <w:szCs w:val="28"/>
          <w:highlight w:val="none"/>
          <w:lang w:val="en-US" w:eastAsia="zh-CN" w:bidi="ar-SA"/>
        </w:rPr>
        <w:t>具有依法缴纳税收和社会保障资金的良好记录的书面承诺函</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采购代理机构</w:t>
      </w:r>
      <w:r>
        <w:rPr>
          <w:rFonts w:hint="eastAsia"/>
          <w:sz w:val="24"/>
          <w:szCs w:val="24"/>
          <w:highlight w:val="none"/>
          <w:lang w:eastAsia="zh-CN"/>
        </w:rPr>
        <w:t>）</w:t>
      </w:r>
      <w:r>
        <w:rPr>
          <w:rFonts w:hint="eastAsia"/>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szCs w:val="24"/>
          <w:highlight w:val="none"/>
        </w:rPr>
      </w:pPr>
      <w:r>
        <w:rPr>
          <w:rFonts w:hint="eastAsia"/>
          <w:sz w:val="24"/>
          <w:szCs w:val="24"/>
          <w:highlight w:val="none"/>
        </w:rPr>
        <w:t>我单位郑重承诺︰我单位参加</w:t>
      </w:r>
      <w:r>
        <w:rPr>
          <w:rFonts w:hint="eastAsia"/>
          <w:sz w:val="24"/>
          <w:szCs w:val="24"/>
          <w:highlight w:val="none"/>
          <w:u w:val="single"/>
        </w:rPr>
        <w:t>（</w:t>
      </w:r>
      <w:r>
        <w:rPr>
          <w:rFonts w:hint="eastAsia"/>
          <w:sz w:val="24"/>
          <w:szCs w:val="24"/>
          <w:highlight w:val="none"/>
          <w:u w:val="single"/>
          <w:lang w:val="en-US" w:eastAsia="zh-CN"/>
        </w:rPr>
        <w:t>采购人</w:t>
      </w:r>
      <w:r>
        <w:rPr>
          <w:rFonts w:hint="eastAsia"/>
          <w:sz w:val="24"/>
          <w:szCs w:val="24"/>
          <w:highlight w:val="none"/>
          <w:u w:val="single"/>
        </w:rPr>
        <w:t>名称）</w:t>
      </w:r>
      <w:r>
        <w:rPr>
          <w:rFonts w:hint="eastAsia"/>
          <w:sz w:val="24"/>
          <w:szCs w:val="24"/>
          <w:highlight w:val="none"/>
        </w:rPr>
        <w:t>的</w:t>
      </w:r>
      <w:r>
        <w:rPr>
          <w:rFonts w:hint="eastAsia"/>
          <w:sz w:val="24"/>
          <w:szCs w:val="24"/>
          <w:highlight w:val="none"/>
          <w:u w:val="single"/>
        </w:rPr>
        <w:t>（项目名称）</w:t>
      </w:r>
      <w:r>
        <w:rPr>
          <w:rFonts w:hint="eastAsia"/>
          <w:sz w:val="24"/>
          <w:szCs w:val="24"/>
          <w:highlight w:val="none"/>
        </w:rPr>
        <w:t>采购活动，根据《中华人民共和国政府采购法》第二十二条的规定，我单位具有依法缴纳税收和社会保障资金的良好记录，符合相关要求。</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sz w:val="24"/>
          <w:szCs w:val="24"/>
          <w:highlight w:val="none"/>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sz w:val="24"/>
          <w:szCs w:val="24"/>
          <w:highlight w:val="none"/>
        </w:rPr>
      </w:pPr>
      <w:r>
        <w:rPr>
          <w:rFonts w:hint="eastAsia"/>
          <w:sz w:val="24"/>
          <w:szCs w:val="24"/>
          <w:highlight w:val="none"/>
        </w:rPr>
        <w:t>特此承诺。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szCs w:val="24"/>
          <w:highlight w:val="none"/>
        </w:rPr>
      </w:pPr>
      <w:r>
        <w:rPr>
          <w:rFonts w:hint="eastAsia"/>
          <w:sz w:val="24"/>
          <w:szCs w:val="24"/>
          <w:highlight w:val="none"/>
        </w:rPr>
        <w:t>我单位对上述承诺的真实性负责。如有虚假，将依法承担相应责任。</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szCs w:val="24"/>
          <w:highlight w:val="none"/>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sz w:val="24"/>
          <w:szCs w:val="24"/>
          <w:highlight w:val="none"/>
        </w:rPr>
      </w:pPr>
    </w:p>
    <w:p>
      <w:pPr>
        <w:autoSpaceDE w:val="0"/>
        <w:autoSpaceDN w:val="0"/>
        <w:adjustRightIn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  标  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（盖单位公章）</w:t>
      </w:r>
    </w:p>
    <w:p>
      <w:pPr>
        <w:autoSpaceDE w:val="0"/>
        <w:autoSpaceDN w:val="0"/>
        <w:adjustRightIn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法定代表人或委托代理人：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（签字或盖章）</w:t>
      </w:r>
    </w:p>
    <w:p>
      <w:pPr>
        <w:autoSpaceDE w:val="0"/>
        <w:autoSpaceDN w:val="0"/>
        <w:adjustRightIn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rPr>
          <w:rFonts w:hint="eastAsia" w:ascii="仿宋" w:hAnsi="仿宋" w:eastAsia="仿宋" w:cs="仿宋"/>
          <w:b/>
          <w:color w:val="auto"/>
          <w:sz w:val="32"/>
          <w:szCs w:val="30"/>
          <w:highlight w:val="none"/>
          <w:lang w:val="zh-CN" w:eastAsia="zh-CN"/>
        </w:rPr>
      </w:pPr>
    </w:p>
    <w:p>
      <w:pPr>
        <w:pStyle w:val="4"/>
        <w:spacing w:before="0" w:after="0" w:line="360" w:lineRule="auto"/>
        <w:jc w:val="center"/>
        <w:rPr>
          <w:rFonts w:hint="default" w:ascii="仿宋" w:hAnsi="仿宋" w:eastAsia="仿宋" w:cs="仿宋"/>
          <w:color w:val="auto"/>
          <w:sz w:val="28"/>
          <w:szCs w:val="28"/>
          <w:highlight w:val="none"/>
          <w:lang w:val="en-US" w:eastAsia="zh-CN"/>
        </w:rPr>
      </w:pPr>
      <w:r>
        <w:rPr>
          <w:rFonts w:hint="eastAsia" w:ascii="仿宋" w:hAnsi="仿宋" w:eastAsia="仿宋" w:cs="仿宋"/>
          <w:b/>
          <w:color w:val="auto"/>
          <w:sz w:val="32"/>
          <w:szCs w:val="30"/>
          <w:highlight w:val="none"/>
          <w:lang w:val="zh-CN" w:eastAsia="zh-CN"/>
        </w:rPr>
        <w:br w:type="page"/>
      </w:r>
      <w:r>
        <w:rPr>
          <w:rFonts w:hint="eastAsia" w:ascii="仿宋" w:hAnsi="仿宋" w:eastAsia="仿宋" w:cs="仿宋"/>
          <w:color w:val="auto"/>
          <w:sz w:val="28"/>
          <w:szCs w:val="28"/>
          <w:highlight w:val="none"/>
          <w:lang w:val="en-US" w:eastAsia="zh-CN"/>
        </w:rPr>
        <w:t>（</w:t>
      </w:r>
      <w:r>
        <w:rPr>
          <w:rFonts w:hint="eastAsia" w:cs="仿宋"/>
          <w:color w:val="auto"/>
          <w:sz w:val="28"/>
          <w:szCs w:val="28"/>
          <w:highlight w:val="none"/>
          <w:lang w:val="en-US" w:eastAsia="zh-CN"/>
        </w:rPr>
        <w:t>6</w:t>
      </w:r>
      <w:r>
        <w:rPr>
          <w:rFonts w:hint="eastAsia" w:ascii="仿宋" w:hAnsi="仿宋" w:eastAsia="仿宋" w:cs="仿宋"/>
          <w:color w:val="auto"/>
          <w:sz w:val="28"/>
          <w:szCs w:val="28"/>
          <w:highlight w:val="none"/>
          <w:lang w:val="en-US" w:eastAsia="zh-CN"/>
        </w:rPr>
        <w:t>）</w:t>
      </w:r>
      <w:r>
        <w:rPr>
          <w:rFonts w:hint="eastAsia" w:cs="仿宋"/>
          <w:color w:val="auto"/>
          <w:sz w:val="28"/>
          <w:szCs w:val="28"/>
          <w:highlight w:val="none"/>
          <w:lang w:val="en-US" w:eastAsia="zh-CN"/>
        </w:rPr>
        <w:t>中小企业声明函</w:t>
      </w:r>
    </w:p>
    <w:p>
      <w:pPr>
        <w:keepNext/>
        <w:keepLines/>
        <w:autoSpaceDE w:val="0"/>
        <w:autoSpaceDN w:val="0"/>
        <w:spacing w:before="120" w:after="120" w:line="300" w:lineRule="auto"/>
        <w:ind w:firstLine="0" w:firstLineChars="0"/>
        <w:jc w:val="center"/>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中小企业声明函（</w:t>
      </w:r>
      <w:r>
        <w:rPr>
          <w:rFonts w:hint="eastAsia" w:ascii="仿宋" w:hAnsi="仿宋" w:eastAsia="仿宋" w:cs="仿宋"/>
          <w:color w:val="auto"/>
          <w:sz w:val="24"/>
          <w:szCs w:val="24"/>
          <w:highlight w:val="none"/>
        </w:rPr>
        <w:t>货物</w:t>
      </w:r>
      <w:r>
        <w:rPr>
          <w:rFonts w:hint="eastAsia" w:ascii="仿宋" w:hAnsi="仿宋" w:eastAsia="仿宋" w:cs="仿宋"/>
          <w:color w:val="auto"/>
          <w:sz w:val="24"/>
          <w:szCs w:val="24"/>
          <w:highlight w:val="none"/>
          <w:lang w:val="zh-CN"/>
        </w:rPr>
        <w:t>）</w:t>
      </w:r>
    </w:p>
    <w:p>
      <w:pPr>
        <w:spacing w:before="120" w:after="120"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本公司(联合体)郑重声明，根据《政府采购促进中小企业发展管理办法》(财库(2020)46号)的规定，本公司(联合体</w:t>
      </w:r>
      <w:r>
        <w:rPr>
          <w:rFonts w:hint="eastAsia" w:ascii="仿宋" w:hAnsi="仿宋" w:eastAsia="仿宋" w:cs="仿宋"/>
          <w:color w:val="auto"/>
          <w:sz w:val="24"/>
          <w:szCs w:val="24"/>
          <w:highlight w:val="none"/>
          <w:u w:val="single"/>
        </w:rPr>
        <w:t>)参加   (单位名称)</w:t>
      </w:r>
      <w:r>
        <w:rPr>
          <w:rFonts w:hint="eastAsia" w:ascii="仿宋" w:hAnsi="仿宋" w:eastAsia="仿宋" w:cs="仿宋"/>
          <w:color w:val="auto"/>
          <w:sz w:val="24"/>
          <w:szCs w:val="24"/>
          <w:highlight w:val="none"/>
        </w:rPr>
        <w:t xml:space="preserve">的 </w:t>
      </w:r>
      <w:r>
        <w:rPr>
          <w:rFonts w:hint="eastAsia" w:ascii="仿宋" w:hAnsi="仿宋" w:eastAsia="仿宋" w:cs="仿宋"/>
          <w:color w:val="auto"/>
          <w:sz w:val="24"/>
          <w:szCs w:val="24"/>
          <w:highlight w:val="none"/>
          <w:u w:val="single"/>
        </w:rPr>
        <w:t xml:space="preserve">  (项目名称)</w:t>
      </w:r>
      <w:r>
        <w:rPr>
          <w:rFonts w:hint="eastAsia" w:ascii="仿宋" w:hAnsi="仿宋" w:eastAsia="仿宋" w:cs="仿宋"/>
          <w:color w:val="auto"/>
          <w:sz w:val="24"/>
          <w:szCs w:val="24"/>
          <w:highlight w:val="none"/>
        </w:rPr>
        <w:t>采购活动，提供的</w:t>
      </w:r>
      <w:r>
        <w:rPr>
          <w:rFonts w:hint="eastAsia" w:ascii="仿宋" w:hAnsi="仿宋" w:eastAsia="仿宋" w:cs="仿宋"/>
          <w:color w:val="auto"/>
          <w:sz w:val="24"/>
          <w:szCs w:val="24"/>
          <w:highlight w:val="none"/>
          <w:lang w:val="en-US" w:eastAsia="zh-CN"/>
        </w:rPr>
        <w:t>中小企业预留部分的</w:t>
      </w:r>
      <w:r>
        <w:rPr>
          <w:rFonts w:hint="eastAsia" w:ascii="仿宋" w:hAnsi="仿宋" w:eastAsia="仿宋" w:cs="仿宋"/>
          <w:color w:val="auto"/>
          <w:sz w:val="24"/>
          <w:szCs w:val="24"/>
          <w:highlight w:val="none"/>
        </w:rPr>
        <w:t>货物全部由符合政策要求的中小企业制造。相关企业（含联合体中的中小企业、签订分包意向协议的中小企业）的具体情况如下:</w:t>
      </w:r>
    </w:p>
    <w:p>
      <w:pPr>
        <w:numPr>
          <w:ilvl w:val="0"/>
          <w:numId w:val="14"/>
        </w:numPr>
        <w:spacing w:before="120" w:after="120"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行业；制造商为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pPr>
        <w:numPr>
          <w:ilvl w:val="0"/>
          <w:numId w:val="14"/>
        </w:numPr>
        <w:spacing w:before="120" w:after="120"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行业；制造商为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 企业、微型企业）</w:t>
      </w:r>
      <w:r>
        <w:rPr>
          <w:rFonts w:hint="eastAsia" w:ascii="仿宋" w:hAnsi="仿宋" w:eastAsia="仿宋" w:cs="仿宋"/>
          <w:color w:val="auto"/>
          <w:sz w:val="24"/>
          <w:szCs w:val="24"/>
          <w:highlight w:val="none"/>
        </w:rPr>
        <w:t xml:space="preserve">； </w:t>
      </w:r>
    </w:p>
    <w:p>
      <w:pPr>
        <w:numPr>
          <w:ilvl w:val="0"/>
          <w:numId w:val="14"/>
        </w:numPr>
        <w:spacing w:before="120" w:after="120"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pPr>
        <w:spacing w:before="120" w:after="120"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pPr>
        <w:spacing w:before="120" w:after="120" w:line="360" w:lineRule="auto"/>
        <w:ind w:firstLine="48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本企业对上述声明内容的真实性负责。如有虚假，将依法承担相应责任。</w:t>
      </w:r>
    </w:p>
    <w:p>
      <w:pPr>
        <w:spacing w:before="120" w:after="120" w:line="360" w:lineRule="auto"/>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企业名称（盖单）：</w:t>
      </w:r>
      <w:r>
        <w:rPr>
          <w:rFonts w:hint="eastAsia" w:ascii="仿宋" w:hAnsi="仿宋" w:eastAsia="仿宋" w:cs="仿宋"/>
          <w:color w:val="auto"/>
          <w:sz w:val="24"/>
          <w:szCs w:val="24"/>
          <w:highlight w:val="none"/>
          <w:u w:val="single"/>
        </w:rPr>
        <w:t xml:space="preserve">                      </w:t>
      </w:r>
    </w:p>
    <w:p>
      <w:pPr>
        <w:spacing w:before="120" w:after="120" w:line="360" w:lineRule="auto"/>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p>
    <w:p>
      <w:pPr>
        <w:spacing w:before="120" w:after="120" w:line="360" w:lineRule="auto"/>
        <w:ind w:firstLine="0" w:firstLineChars="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注</w:t>
      </w:r>
      <w:r>
        <w:rPr>
          <w:rFonts w:hint="eastAsia" w:ascii="仿宋" w:hAnsi="仿宋" w:eastAsia="仿宋" w:cs="仿宋"/>
          <w:b/>
          <w:bCs/>
          <w:color w:val="auto"/>
          <w:sz w:val="24"/>
          <w:szCs w:val="24"/>
          <w:highlight w:val="none"/>
          <w:lang w:eastAsia="zh-CN"/>
        </w:rPr>
        <w:t>：</w:t>
      </w:r>
    </w:p>
    <w:p>
      <w:pPr>
        <w:spacing w:before="120" w:after="120"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1、供应商需提供设备制造厂商中小企业声明函（设备清单表中为大型企业的不需要提供）</w:t>
      </w:r>
    </w:p>
    <w:p>
      <w:pPr>
        <w:spacing w:before="120" w:after="120"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从业人员、营业收入、资产总额填报上一年度数据，无上一年度数据的新成立企业可不填报。投标人提供采购文件规定预留货物部分必须由中小企业生产且使用该中小企业商号或注册商标。非预留部分的货物如非中小企业生产则非预留部分不需填写，只需填写预留部分的情况即可。</w:t>
      </w:r>
    </w:p>
    <w:p>
      <w:pPr>
        <w:rPr>
          <w:rFonts w:hint="eastAsia" w:ascii="仿宋" w:hAnsi="仿宋" w:eastAsia="仿宋" w:cs="仿宋"/>
          <w:b/>
          <w:color w:val="auto"/>
          <w:sz w:val="32"/>
          <w:szCs w:val="30"/>
          <w:highlight w:val="none"/>
          <w:lang w:val="zh-CN" w:eastAsia="zh-CN"/>
        </w:rPr>
      </w:pPr>
      <w:r>
        <w:rPr>
          <w:rFonts w:hint="eastAsia" w:ascii="仿宋" w:hAnsi="仿宋" w:eastAsia="仿宋" w:cs="仿宋"/>
          <w:color w:val="auto"/>
          <w:sz w:val="24"/>
          <w:szCs w:val="24"/>
          <w:highlight w:val="none"/>
        </w:rPr>
        <w:t>3、投标单位必须严格填写此表，此表作为评审依据。（此格式不允许更改）</w:t>
      </w:r>
    </w:p>
    <w:p>
      <w:pPr>
        <w:pStyle w:val="3"/>
        <w:numPr>
          <w:ilvl w:val="0"/>
          <w:numId w:val="0"/>
        </w:numPr>
        <w:spacing w:before="0" w:line="360" w:lineRule="auto"/>
        <w:ind w:left="0" w:leftChars="0" w:firstLine="642" w:firstLineChars="200"/>
        <w:jc w:val="center"/>
        <w:rPr>
          <w:rFonts w:hint="eastAsia" w:ascii="仿宋" w:hAnsi="仿宋" w:eastAsia="仿宋" w:cs="仿宋"/>
          <w:b/>
          <w:color w:val="auto"/>
          <w:sz w:val="32"/>
          <w:szCs w:val="30"/>
          <w:highlight w:val="none"/>
          <w:lang w:val="zh-CN" w:eastAsia="zh-CN"/>
        </w:rPr>
      </w:pPr>
      <w:r>
        <w:rPr>
          <w:rFonts w:hint="eastAsia" w:ascii="仿宋" w:hAnsi="仿宋" w:eastAsia="仿宋" w:cs="仿宋"/>
          <w:b/>
          <w:bCs/>
          <w:color w:val="auto"/>
          <w:kern w:val="2"/>
          <w:sz w:val="32"/>
          <w:szCs w:val="30"/>
          <w:highlight w:val="none"/>
          <w:lang w:val="zh-CN" w:eastAsia="zh-CN" w:bidi="ar-SA"/>
        </w:rPr>
        <w:t>七、</w:t>
      </w:r>
      <w:r>
        <w:rPr>
          <w:rFonts w:hint="eastAsia" w:ascii="仿宋" w:hAnsi="仿宋" w:eastAsia="仿宋" w:cs="仿宋"/>
          <w:b/>
          <w:color w:val="auto"/>
          <w:sz w:val="32"/>
          <w:szCs w:val="30"/>
          <w:highlight w:val="none"/>
          <w:lang w:val="zh-CN" w:eastAsia="zh-CN"/>
        </w:rPr>
        <w:t>投标人的资格声明</w:t>
      </w:r>
    </w:p>
    <w:p>
      <w:pPr>
        <w:autoSpaceDE w:val="0"/>
        <w:autoSpaceDN w:val="0"/>
        <w:rPr>
          <w:rFonts w:hint="eastAsia" w:ascii="仿宋" w:hAnsi="仿宋" w:eastAsia="仿宋" w:cs="仿宋"/>
          <w:b/>
          <w:bCs/>
          <w:color w:val="auto"/>
          <w:sz w:val="24"/>
          <w:szCs w:val="24"/>
          <w:highlight w:val="none"/>
        </w:rPr>
      </w:pPr>
    </w:p>
    <w:p>
      <w:pPr>
        <w:autoSpaceDE w:val="0"/>
        <w:autoSpaceDN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致</w:t>
      </w:r>
      <w:r>
        <w:rPr>
          <w:rFonts w:hint="eastAsia" w:cs="仿宋"/>
          <w:color w:val="auto"/>
          <w:sz w:val="24"/>
          <w:szCs w:val="24"/>
          <w:highlight w:val="none"/>
          <w:lang w:val="zh-CN"/>
        </w:rPr>
        <w:t>中屹宬信建设集团有限公司</w:t>
      </w:r>
      <w:r>
        <w:rPr>
          <w:rFonts w:hint="eastAsia" w:ascii="仿宋" w:hAnsi="仿宋" w:eastAsia="仿宋" w:cs="仿宋"/>
          <w:color w:val="auto"/>
          <w:sz w:val="24"/>
          <w:szCs w:val="24"/>
          <w:highlight w:val="none"/>
          <w:lang w:val="zh-CN"/>
        </w:rPr>
        <w:t>：</w:t>
      </w:r>
    </w:p>
    <w:p>
      <w:pPr>
        <w:autoSpaceDE w:val="0"/>
        <w:autoSpaceDN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按照《中华人民共和国政府采购法》第</w:t>
      </w: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zh-CN"/>
        </w:rPr>
        <w:t>条和你单位发布的《</w:t>
      </w:r>
      <w:r>
        <w:rPr>
          <w:rFonts w:hint="eastAsia" w:ascii="仿宋" w:hAnsi="仿宋" w:eastAsia="仿宋" w:cs="仿宋"/>
          <w:color w:val="auto"/>
          <w:sz w:val="24"/>
          <w:szCs w:val="24"/>
          <w:highlight w:val="none"/>
          <w:u w:val="single"/>
          <w:lang w:val="zh-CN"/>
        </w:rPr>
        <w:t>采购单位名称+项目名称</w:t>
      </w:r>
      <w:r>
        <w:rPr>
          <w:rFonts w:hint="eastAsia" w:ascii="仿宋" w:hAnsi="仿宋" w:eastAsia="仿宋" w:cs="仿宋"/>
          <w:color w:val="auto"/>
          <w:sz w:val="24"/>
          <w:szCs w:val="24"/>
          <w:highlight w:val="none"/>
          <w:lang w:val="zh-CN"/>
        </w:rPr>
        <w:t>招标文件》（</w:t>
      </w:r>
      <w:r>
        <w:rPr>
          <w:rFonts w:hint="eastAsia" w:ascii="仿宋" w:hAnsi="仿宋" w:eastAsia="仿宋" w:cs="仿宋"/>
          <w:color w:val="auto"/>
          <w:sz w:val="24"/>
          <w:szCs w:val="24"/>
          <w:highlight w:val="none"/>
        </w:rPr>
        <w:t xml:space="preserve">     -      </w:t>
      </w:r>
      <w:r>
        <w:rPr>
          <w:rFonts w:hint="eastAsia" w:ascii="仿宋" w:hAnsi="仿宋" w:eastAsia="仿宋" w:cs="仿宋"/>
          <w:color w:val="auto"/>
          <w:sz w:val="24"/>
          <w:szCs w:val="24"/>
          <w:highlight w:val="none"/>
          <w:lang w:val="zh-CN"/>
        </w:rPr>
        <w:t>号）的规定，我公司郑重声明如下：</w:t>
      </w:r>
    </w:p>
    <w:p>
      <w:pPr>
        <w:autoSpaceDE w:val="0"/>
        <w:autoSpaceDN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、我公司是按照中华人民共和国法律在工商管理机关登记注册的企业法人，注册地点为，公司全称为，法定代表人为，具有独立承担民事责任的能力。</w:t>
      </w:r>
    </w:p>
    <w:p>
      <w:pPr>
        <w:autoSpaceDE w:val="0"/>
        <w:autoSpaceDN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、我公司具有良好的商业信誉和健全的财务会计制度。</w:t>
      </w:r>
    </w:p>
    <w:p>
      <w:pPr>
        <w:autoSpaceDE w:val="0"/>
        <w:autoSpaceDN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zh-CN"/>
        </w:rPr>
        <w:t>、我公司具有履行本项目采购合同所必需的设备和专业技术能力。</w:t>
      </w:r>
    </w:p>
    <w:p>
      <w:pPr>
        <w:autoSpaceDE w:val="0"/>
        <w:autoSpaceDN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zh-CN"/>
        </w:rPr>
        <w:t>、我公司具有依法缴纳税收和社会保障资金的良好记录。</w:t>
      </w:r>
    </w:p>
    <w:p>
      <w:pPr>
        <w:autoSpaceDE w:val="0"/>
        <w:autoSpaceDN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zh-CN"/>
        </w:rPr>
        <w:t>、我公司在参与本次政府采购活动之前三年内，在经营活动中无重大违法记录。</w:t>
      </w:r>
    </w:p>
    <w:p>
      <w:pPr>
        <w:autoSpaceDE w:val="0"/>
        <w:autoSpaceDN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zh-CN"/>
        </w:rPr>
        <w:t>、我公司在参与本次政府采购活动时未受到任何地方政府采购部门作出的暂停参加政府采购活动的处罚。</w:t>
      </w:r>
    </w:p>
    <w:p>
      <w:pPr>
        <w:autoSpaceDE w:val="0"/>
        <w:autoSpaceDN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我公司保证上述声明的事项都是真实的，如有虚假，我公司承担相应的法律责任，并承担因此给你公司以及本项目采购人所造成的损失。</w:t>
      </w:r>
    </w:p>
    <w:p>
      <w:pPr>
        <w:autoSpaceDE w:val="0"/>
        <w:autoSpaceDN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我公司已经按照招标文件的要求提交了所要求提交的能够证明上述声明事项真实性的全部文件材料，并保证随时按照要求提供能够证明上述声明事项真实性的任何有效文件。</w:t>
      </w:r>
    </w:p>
    <w:p>
      <w:pPr>
        <w:autoSpaceDE w:val="0"/>
        <w:autoSpaceDN w:val="0"/>
        <w:ind w:firstLine="480"/>
        <w:rPr>
          <w:rFonts w:hint="eastAsia" w:ascii="仿宋" w:hAnsi="仿宋" w:eastAsia="仿宋" w:cs="仿宋"/>
          <w:color w:val="auto"/>
          <w:sz w:val="24"/>
          <w:szCs w:val="24"/>
          <w:highlight w:val="none"/>
        </w:rPr>
      </w:pPr>
    </w:p>
    <w:bookmarkEnd w:id="132"/>
    <w:bookmarkEnd w:id="133"/>
    <w:p>
      <w:pPr>
        <w:autoSpaceDE w:val="0"/>
        <w:autoSpaceDN w:val="0"/>
        <w:adjustRightInd w:val="0"/>
        <w:spacing w:line="360" w:lineRule="auto"/>
        <w:jc w:val="left"/>
        <w:rPr>
          <w:rFonts w:hint="eastAsia" w:ascii="仿宋" w:hAnsi="仿宋" w:eastAsia="仿宋" w:cs="仿宋"/>
          <w:color w:val="auto"/>
          <w:sz w:val="24"/>
          <w:szCs w:val="21"/>
          <w:highlight w:val="none"/>
        </w:rPr>
      </w:pPr>
      <w:bookmarkStart w:id="134" w:name="_Toc476745880"/>
      <w:bookmarkStart w:id="135" w:name="_Toc27274"/>
      <w:bookmarkStart w:id="136" w:name="_Toc19097124"/>
      <w:bookmarkStart w:id="137" w:name="_Toc22892155"/>
      <w:bookmarkStart w:id="138" w:name="_Toc17185835"/>
      <w:bookmarkStart w:id="139" w:name="_Toc17185732"/>
      <w:r>
        <w:rPr>
          <w:rFonts w:hint="eastAsia" w:ascii="仿宋" w:hAnsi="仿宋" w:eastAsia="仿宋" w:cs="仿宋"/>
          <w:color w:val="auto"/>
          <w:sz w:val="24"/>
          <w:szCs w:val="21"/>
          <w:highlight w:val="none"/>
        </w:rPr>
        <w:t>投  标  人：</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（盖单位公章）</w:t>
      </w:r>
    </w:p>
    <w:p>
      <w:pPr>
        <w:autoSpaceDE w:val="0"/>
        <w:autoSpaceDN w:val="0"/>
        <w:adjustRightInd w:val="0"/>
        <w:spacing w:line="360" w:lineRule="auto"/>
        <w:jc w:val="left"/>
        <w:rPr>
          <w:rFonts w:hint="eastAsia" w:ascii="仿宋" w:hAnsi="仿宋" w:eastAsia="仿宋" w:cs="仿宋"/>
          <w:color w:val="auto"/>
          <w:sz w:val="24"/>
          <w:szCs w:val="21"/>
          <w:highlight w:val="none"/>
        </w:rPr>
      </w:pPr>
      <w:r>
        <w:rPr>
          <w:rFonts w:hint="eastAsia" w:ascii="仿宋" w:hAnsi="仿宋" w:eastAsia="仿宋" w:cs="仿宋"/>
          <w:bCs/>
          <w:color w:val="auto"/>
          <w:sz w:val="24"/>
          <w:szCs w:val="21"/>
          <w:highlight w:val="none"/>
        </w:rPr>
        <w:t>法定代表人或委托代理人</w:t>
      </w:r>
      <w:r>
        <w:rPr>
          <w:rFonts w:hint="eastAsia" w:ascii="仿宋" w:hAnsi="仿宋" w:eastAsia="仿宋" w:cs="仿宋"/>
          <w:color w:val="auto"/>
          <w:sz w:val="24"/>
          <w:szCs w:val="21"/>
          <w:highlight w:val="none"/>
        </w:rPr>
        <w:t>：</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（签字或盖章）</w:t>
      </w:r>
    </w:p>
    <w:p>
      <w:pPr>
        <w:autoSpaceDE w:val="0"/>
        <w:autoSpaceDN w:val="0"/>
        <w:adjustRightInd w:val="0"/>
        <w:spacing w:line="360" w:lineRule="auto"/>
        <w:jc w:val="left"/>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年</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月</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日</w:t>
      </w:r>
    </w:p>
    <w:p>
      <w:pPr>
        <w:rPr>
          <w:rFonts w:hint="eastAsia" w:ascii="仿宋" w:hAnsi="仿宋" w:eastAsia="仿宋" w:cs="仿宋"/>
          <w:b/>
          <w:bCs/>
          <w:color w:val="auto"/>
          <w:kern w:val="2"/>
          <w:sz w:val="24"/>
          <w:szCs w:val="24"/>
          <w:highlight w:val="none"/>
          <w:lang w:val="zh-CN" w:eastAsia="zh-CN" w:bidi="ar-SA"/>
        </w:rPr>
      </w:pPr>
    </w:p>
    <w:p>
      <w:pPr>
        <w:rPr>
          <w:rFonts w:hint="eastAsia" w:ascii="仿宋" w:hAnsi="仿宋" w:eastAsia="仿宋" w:cs="仿宋"/>
          <w:b/>
          <w:color w:val="auto"/>
          <w:sz w:val="32"/>
          <w:szCs w:val="30"/>
          <w:highlight w:val="none"/>
          <w:lang w:val="zh-CN" w:eastAsia="zh-CN"/>
        </w:rPr>
      </w:pPr>
      <w:r>
        <w:rPr>
          <w:rFonts w:hint="eastAsia" w:ascii="仿宋" w:hAnsi="仿宋" w:eastAsia="仿宋" w:cs="仿宋"/>
          <w:b/>
          <w:color w:val="auto"/>
          <w:sz w:val="32"/>
          <w:szCs w:val="30"/>
          <w:highlight w:val="none"/>
          <w:lang w:val="zh-CN" w:eastAsia="zh-CN"/>
        </w:rPr>
        <w:br w:type="page"/>
      </w:r>
    </w:p>
    <w:bookmarkEnd w:id="134"/>
    <w:bookmarkEnd w:id="135"/>
    <w:bookmarkEnd w:id="136"/>
    <w:bookmarkEnd w:id="137"/>
    <w:bookmarkEnd w:id="138"/>
    <w:bookmarkEnd w:id="139"/>
    <w:p>
      <w:pPr>
        <w:autoSpaceDE w:val="0"/>
        <w:autoSpaceDN w:val="0"/>
        <w:adjustRightInd w:val="0"/>
        <w:spacing w:line="400" w:lineRule="exact"/>
        <w:jc w:val="center"/>
        <w:outlineLvl w:val="1"/>
        <w:rPr>
          <w:rFonts w:hint="eastAsia" w:ascii="宋体" w:hAnsi="宋体" w:cs="宋体"/>
          <w:b/>
          <w:sz w:val="28"/>
          <w:szCs w:val="28"/>
          <w:highlight w:val="none"/>
          <w:lang w:val="zh-CN"/>
        </w:rPr>
      </w:pPr>
      <w:r>
        <w:rPr>
          <w:rFonts w:hint="eastAsia" w:ascii="宋体" w:hAnsi="宋体" w:cs="宋体"/>
          <w:b/>
          <w:sz w:val="28"/>
          <w:szCs w:val="28"/>
          <w:highlight w:val="none"/>
          <w:lang w:val="en-US" w:eastAsia="zh-CN"/>
        </w:rPr>
        <w:t>八</w:t>
      </w:r>
      <w:r>
        <w:rPr>
          <w:rFonts w:hint="eastAsia" w:ascii="宋体" w:hAnsi="宋体" w:cs="宋体"/>
          <w:b/>
          <w:sz w:val="28"/>
          <w:szCs w:val="28"/>
          <w:highlight w:val="none"/>
        </w:rPr>
        <w:t>、</w:t>
      </w:r>
      <w:r>
        <w:rPr>
          <w:rFonts w:hint="eastAsia" w:ascii="宋体" w:hAnsi="宋体" w:cs="宋体"/>
          <w:b/>
          <w:sz w:val="28"/>
          <w:szCs w:val="28"/>
          <w:highlight w:val="none"/>
          <w:lang w:val="zh-CN"/>
        </w:rPr>
        <w:t>技术规格偏离表（格式）</w:t>
      </w:r>
    </w:p>
    <w:p>
      <w:pPr>
        <w:spacing w:line="360" w:lineRule="auto"/>
        <w:jc w:val="center"/>
        <w:rPr>
          <w:rFonts w:hint="eastAsia" w:ascii="宋体" w:hAnsi="宋体" w:cs="宋体"/>
          <w:b/>
          <w:sz w:val="24"/>
          <w:szCs w:val="28"/>
          <w:highlight w:val="none"/>
        </w:rPr>
      </w:pPr>
    </w:p>
    <w:p>
      <w:pPr>
        <w:spacing w:line="360" w:lineRule="auto"/>
        <w:jc w:val="center"/>
        <w:rPr>
          <w:rFonts w:hint="eastAsia" w:ascii="宋体" w:hAnsi="宋体" w:cs="宋体"/>
          <w:b/>
          <w:sz w:val="24"/>
          <w:szCs w:val="28"/>
          <w:highlight w:val="none"/>
        </w:rPr>
      </w:pPr>
    </w:p>
    <w:p>
      <w:pPr>
        <w:pStyle w:val="12"/>
        <w:spacing w:line="360" w:lineRule="auto"/>
        <w:ind w:firstLine="420" w:firstLineChars="200"/>
        <w:rPr>
          <w:rFonts w:hint="eastAsia" w:ascii="宋体" w:hAnsi="宋体" w:cs="宋体"/>
          <w:sz w:val="21"/>
          <w:szCs w:val="21"/>
          <w:highlight w:val="none"/>
        </w:rPr>
      </w:pPr>
      <w:bookmarkStart w:id="140" w:name="_Toc26153"/>
      <w:r>
        <w:rPr>
          <w:rFonts w:hint="eastAsia" w:ascii="宋体" w:hAnsi="宋体" w:cs="宋体"/>
          <w:sz w:val="21"/>
          <w:szCs w:val="21"/>
          <w:highlight w:val="none"/>
        </w:rPr>
        <w:t>项目名称：                                    招标文件编号：</w:t>
      </w:r>
      <w:bookmarkEnd w:id="140"/>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1074"/>
        <w:gridCol w:w="2655"/>
        <w:gridCol w:w="1982"/>
        <w:gridCol w:w="1192"/>
        <w:gridCol w:w="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25" w:hRule="atLeast"/>
          <w:jc w:val="center"/>
        </w:trPr>
        <w:tc>
          <w:tcPr>
            <w:tcW w:w="1210" w:type="dxa"/>
            <w:noWrap w:val="0"/>
            <w:vAlign w:val="center"/>
          </w:tcPr>
          <w:p>
            <w:pPr>
              <w:spacing w:line="360" w:lineRule="auto"/>
              <w:jc w:val="center"/>
              <w:outlineLvl w:val="0"/>
              <w:rPr>
                <w:rFonts w:hint="eastAsia" w:ascii="宋体" w:hAnsi="宋体" w:cs="宋体"/>
                <w:szCs w:val="21"/>
                <w:highlight w:val="none"/>
              </w:rPr>
            </w:pPr>
            <w:bookmarkStart w:id="141" w:name="_Toc8717"/>
            <w:r>
              <w:rPr>
                <w:rFonts w:hint="eastAsia" w:ascii="宋体" w:hAnsi="宋体" w:cs="宋体"/>
                <w:szCs w:val="21"/>
                <w:highlight w:val="none"/>
              </w:rPr>
              <w:t>序号</w:t>
            </w:r>
            <w:bookmarkEnd w:id="141"/>
          </w:p>
        </w:tc>
        <w:tc>
          <w:tcPr>
            <w:tcW w:w="1074" w:type="dxa"/>
            <w:noWrap w:val="0"/>
            <w:vAlign w:val="center"/>
          </w:tcPr>
          <w:p>
            <w:pPr>
              <w:spacing w:line="360" w:lineRule="auto"/>
              <w:jc w:val="center"/>
              <w:outlineLvl w:val="0"/>
              <w:rPr>
                <w:rFonts w:hint="eastAsia" w:ascii="宋体" w:hAnsi="宋体" w:cs="宋体"/>
                <w:szCs w:val="21"/>
                <w:highlight w:val="none"/>
              </w:rPr>
            </w:pPr>
            <w:bookmarkStart w:id="142" w:name="_Toc17900"/>
            <w:r>
              <w:rPr>
                <w:rFonts w:hint="eastAsia" w:ascii="宋体" w:hAnsi="宋体" w:cs="宋体"/>
                <w:szCs w:val="21"/>
                <w:highlight w:val="none"/>
              </w:rPr>
              <w:t>名称</w:t>
            </w:r>
            <w:bookmarkEnd w:id="142"/>
          </w:p>
        </w:tc>
        <w:tc>
          <w:tcPr>
            <w:tcW w:w="2655" w:type="dxa"/>
            <w:noWrap w:val="0"/>
            <w:vAlign w:val="center"/>
          </w:tcPr>
          <w:p>
            <w:pPr>
              <w:spacing w:line="360" w:lineRule="auto"/>
              <w:jc w:val="center"/>
              <w:outlineLvl w:val="0"/>
              <w:rPr>
                <w:rFonts w:hint="eastAsia" w:ascii="宋体" w:hAnsi="宋体" w:cs="宋体"/>
                <w:szCs w:val="21"/>
                <w:highlight w:val="none"/>
              </w:rPr>
            </w:pPr>
            <w:bookmarkStart w:id="143" w:name="_Toc4953"/>
            <w:r>
              <w:rPr>
                <w:rFonts w:hint="eastAsia" w:ascii="宋体" w:hAnsi="宋体" w:cs="宋体"/>
                <w:szCs w:val="21"/>
                <w:highlight w:val="none"/>
              </w:rPr>
              <w:t>招标文件规定的</w:t>
            </w:r>
            <w:bookmarkEnd w:id="143"/>
            <w:r>
              <w:rPr>
                <w:rFonts w:hint="eastAsia" w:ascii="宋体" w:hAnsi="宋体" w:cs="宋体"/>
                <w:szCs w:val="21"/>
                <w:highlight w:val="none"/>
              </w:rPr>
              <w:t>采购需求</w:t>
            </w:r>
          </w:p>
        </w:tc>
        <w:tc>
          <w:tcPr>
            <w:tcW w:w="1982" w:type="dxa"/>
            <w:noWrap w:val="0"/>
            <w:vAlign w:val="center"/>
          </w:tcPr>
          <w:p>
            <w:pPr>
              <w:spacing w:line="360" w:lineRule="auto"/>
              <w:jc w:val="center"/>
              <w:outlineLvl w:val="0"/>
              <w:rPr>
                <w:rFonts w:hint="eastAsia" w:ascii="宋体" w:hAnsi="宋体" w:cs="宋体"/>
                <w:szCs w:val="21"/>
                <w:highlight w:val="none"/>
              </w:rPr>
            </w:pPr>
            <w:bookmarkStart w:id="144" w:name="_Toc224"/>
            <w:r>
              <w:rPr>
                <w:rFonts w:hint="eastAsia" w:ascii="宋体" w:hAnsi="宋体" w:cs="宋体"/>
                <w:szCs w:val="21"/>
                <w:highlight w:val="none"/>
              </w:rPr>
              <w:t>投标文件响应情况</w:t>
            </w:r>
            <w:bookmarkEnd w:id="144"/>
          </w:p>
        </w:tc>
        <w:tc>
          <w:tcPr>
            <w:tcW w:w="1192" w:type="dxa"/>
            <w:noWrap w:val="0"/>
            <w:vAlign w:val="center"/>
          </w:tcPr>
          <w:p>
            <w:pPr>
              <w:spacing w:line="360" w:lineRule="auto"/>
              <w:jc w:val="center"/>
              <w:outlineLvl w:val="0"/>
              <w:rPr>
                <w:rFonts w:hint="eastAsia" w:ascii="宋体" w:hAnsi="宋体" w:cs="宋体"/>
                <w:szCs w:val="21"/>
                <w:highlight w:val="none"/>
              </w:rPr>
            </w:pPr>
            <w:bookmarkStart w:id="145" w:name="_Toc29716"/>
            <w:r>
              <w:rPr>
                <w:rFonts w:hint="eastAsia" w:ascii="宋体" w:hAnsi="宋体" w:cs="宋体"/>
                <w:szCs w:val="21"/>
                <w:highlight w:val="none"/>
              </w:rPr>
              <w:t>是否偏离</w:t>
            </w:r>
            <w:bookmarkEnd w:id="145"/>
          </w:p>
        </w:tc>
        <w:tc>
          <w:tcPr>
            <w:tcW w:w="748" w:type="dxa"/>
            <w:noWrap w:val="0"/>
            <w:vAlign w:val="center"/>
          </w:tcPr>
          <w:p>
            <w:pPr>
              <w:spacing w:line="360" w:lineRule="auto"/>
              <w:jc w:val="center"/>
              <w:outlineLvl w:val="0"/>
              <w:rPr>
                <w:rFonts w:hint="eastAsia" w:ascii="宋体" w:hAnsi="宋体" w:cs="宋体"/>
                <w:szCs w:val="21"/>
                <w:highlight w:val="none"/>
              </w:rPr>
            </w:pPr>
            <w:bookmarkStart w:id="146" w:name="_Toc28560"/>
            <w:r>
              <w:rPr>
                <w:rFonts w:hint="eastAsia" w:ascii="宋体" w:hAnsi="宋体" w:cs="宋体"/>
                <w:szCs w:val="21"/>
                <w:highlight w:val="none"/>
              </w:rPr>
              <w:t>备注</w:t>
            </w:r>
            <w:bookmarkEnd w:id="14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64" w:hRule="atLeast"/>
          <w:jc w:val="center"/>
        </w:trPr>
        <w:tc>
          <w:tcPr>
            <w:tcW w:w="1210" w:type="dxa"/>
            <w:noWrap w:val="0"/>
            <w:vAlign w:val="top"/>
          </w:tcPr>
          <w:p>
            <w:pPr>
              <w:spacing w:line="360" w:lineRule="auto"/>
              <w:rPr>
                <w:rFonts w:hint="eastAsia" w:ascii="宋体" w:hAnsi="宋体" w:cs="宋体"/>
                <w:sz w:val="24"/>
                <w:highlight w:val="none"/>
              </w:rPr>
            </w:pPr>
          </w:p>
        </w:tc>
        <w:tc>
          <w:tcPr>
            <w:tcW w:w="1074" w:type="dxa"/>
            <w:noWrap w:val="0"/>
            <w:vAlign w:val="top"/>
          </w:tcPr>
          <w:p>
            <w:pPr>
              <w:spacing w:line="360" w:lineRule="auto"/>
              <w:rPr>
                <w:rFonts w:hint="eastAsia" w:ascii="宋体" w:hAnsi="宋体" w:cs="宋体"/>
                <w:sz w:val="24"/>
                <w:highlight w:val="none"/>
              </w:rPr>
            </w:pPr>
          </w:p>
        </w:tc>
        <w:tc>
          <w:tcPr>
            <w:tcW w:w="2655" w:type="dxa"/>
            <w:noWrap w:val="0"/>
            <w:vAlign w:val="top"/>
          </w:tcPr>
          <w:p>
            <w:pPr>
              <w:spacing w:line="360" w:lineRule="auto"/>
              <w:rPr>
                <w:rFonts w:hint="eastAsia" w:ascii="宋体" w:hAnsi="宋体" w:cs="宋体"/>
                <w:sz w:val="24"/>
                <w:highlight w:val="none"/>
              </w:rPr>
            </w:pPr>
          </w:p>
        </w:tc>
        <w:tc>
          <w:tcPr>
            <w:tcW w:w="1982" w:type="dxa"/>
            <w:noWrap w:val="0"/>
            <w:vAlign w:val="top"/>
          </w:tcPr>
          <w:p>
            <w:pPr>
              <w:spacing w:line="360" w:lineRule="auto"/>
              <w:rPr>
                <w:rFonts w:hint="eastAsia" w:ascii="宋体" w:hAnsi="宋体" w:cs="宋体"/>
                <w:sz w:val="24"/>
                <w:highlight w:val="none"/>
              </w:rPr>
            </w:pPr>
          </w:p>
        </w:tc>
        <w:tc>
          <w:tcPr>
            <w:tcW w:w="1192" w:type="dxa"/>
            <w:noWrap w:val="0"/>
            <w:vAlign w:val="top"/>
          </w:tcPr>
          <w:p>
            <w:pPr>
              <w:spacing w:line="360" w:lineRule="auto"/>
              <w:rPr>
                <w:rFonts w:hint="eastAsia" w:ascii="宋体" w:hAnsi="宋体" w:cs="宋体"/>
                <w:sz w:val="24"/>
                <w:highlight w:val="none"/>
              </w:rPr>
            </w:pPr>
          </w:p>
        </w:tc>
        <w:tc>
          <w:tcPr>
            <w:tcW w:w="748" w:type="dxa"/>
            <w:noWrap w:val="0"/>
            <w:vAlign w:val="top"/>
          </w:tcPr>
          <w:p>
            <w:pPr>
              <w:spacing w:line="360" w:lineRule="auto"/>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1210" w:type="dxa"/>
            <w:noWrap w:val="0"/>
            <w:vAlign w:val="top"/>
          </w:tcPr>
          <w:p>
            <w:pPr>
              <w:spacing w:line="360" w:lineRule="auto"/>
              <w:rPr>
                <w:rFonts w:hint="eastAsia" w:ascii="宋体" w:hAnsi="宋体" w:cs="宋体"/>
                <w:sz w:val="24"/>
                <w:highlight w:val="none"/>
              </w:rPr>
            </w:pPr>
          </w:p>
        </w:tc>
        <w:tc>
          <w:tcPr>
            <w:tcW w:w="1074" w:type="dxa"/>
            <w:noWrap w:val="0"/>
            <w:vAlign w:val="top"/>
          </w:tcPr>
          <w:p>
            <w:pPr>
              <w:spacing w:line="360" w:lineRule="auto"/>
              <w:rPr>
                <w:rFonts w:hint="eastAsia" w:ascii="宋体" w:hAnsi="宋体" w:cs="宋体"/>
                <w:sz w:val="24"/>
                <w:highlight w:val="none"/>
              </w:rPr>
            </w:pPr>
          </w:p>
        </w:tc>
        <w:tc>
          <w:tcPr>
            <w:tcW w:w="2655" w:type="dxa"/>
            <w:noWrap w:val="0"/>
            <w:vAlign w:val="top"/>
          </w:tcPr>
          <w:p>
            <w:pPr>
              <w:spacing w:line="360" w:lineRule="auto"/>
              <w:rPr>
                <w:rFonts w:hint="eastAsia" w:ascii="宋体" w:hAnsi="宋体" w:cs="宋体"/>
                <w:sz w:val="24"/>
                <w:highlight w:val="none"/>
              </w:rPr>
            </w:pPr>
          </w:p>
        </w:tc>
        <w:tc>
          <w:tcPr>
            <w:tcW w:w="1982" w:type="dxa"/>
            <w:noWrap w:val="0"/>
            <w:vAlign w:val="top"/>
          </w:tcPr>
          <w:p>
            <w:pPr>
              <w:spacing w:line="360" w:lineRule="auto"/>
              <w:rPr>
                <w:rFonts w:hint="eastAsia" w:ascii="宋体" w:hAnsi="宋体" w:cs="宋体"/>
                <w:sz w:val="24"/>
                <w:highlight w:val="none"/>
              </w:rPr>
            </w:pPr>
          </w:p>
        </w:tc>
        <w:tc>
          <w:tcPr>
            <w:tcW w:w="1192" w:type="dxa"/>
            <w:noWrap w:val="0"/>
            <w:vAlign w:val="top"/>
          </w:tcPr>
          <w:p>
            <w:pPr>
              <w:spacing w:line="360" w:lineRule="auto"/>
              <w:rPr>
                <w:rFonts w:hint="eastAsia" w:ascii="宋体" w:hAnsi="宋体" w:cs="宋体"/>
                <w:sz w:val="24"/>
                <w:highlight w:val="none"/>
              </w:rPr>
            </w:pPr>
          </w:p>
        </w:tc>
        <w:tc>
          <w:tcPr>
            <w:tcW w:w="748" w:type="dxa"/>
            <w:noWrap w:val="0"/>
            <w:vAlign w:val="top"/>
          </w:tcPr>
          <w:p>
            <w:pPr>
              <w:spacing w:line="360" w:lineRule="auto"/>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1210" w:type="dxa"/>
            <w:noWrap w:val="0"/>
            <w:vAlign w:val="top"/>
          </w:tcPr>
          <w:p>
            <w:pPr>
              <w:spacing w:line="360" w:lineRule="auto"/>
              <w:outlineLvl w:val="0"/>
              <w:rPr>
                <w:rFonts w:hint="eastAsia" w:ascii="宋体" w:hAnsi="宋体" w:cs="宋体"/>
                <w:sz w:val="24"/>
                <w:highlight w:val="none"/>
              </w:rPr>
            </w:pPr>
          </w:p>
        </w:tc>
        <w:tc>
          <w:tcPr>
            <w:tcW w:w="1074" w:type="dxa"/>
            <w:noWrap w:val="0"/>
            <w:vAlign w:val="top"/>
          </w:tcPr>
          <w:p>
            <w:pPr>
              <w:spacing w:line="360" w:lineRule="auto"/>
              <w:rPr>
                <w:rFonts w:hint="eastAsia" w:ascii="宋体" w:hAnsi="宋体" w:cs="宋体"/>
                <w:sz w:val="24"/>
                <w:highlight w:val="none"/>
              </w:rPr>
            </w:pPr>
          </w:p>
        </w:tc>
        <w:tc>
          <w:tcPr>
            <w:tcW w:w="2655" w:type="dxa"/>
            <w:noWrap w:val="0"/>
            <w:vAlign w:val="top"/>
          </w:tcPr>
          <w:p>
            <w:pPr>
              <w:spacing w:line="360" w:lineRule="auto"/>
              <w:rPr>
                <w:rFonts w:hint="eastAsia" w:ascii="宋体" w:hAnsi="宋体" w:cs="宋体"/>
                <w:sz w:val="24"/>
                <w:highlight w:val="none"/>
              </w:rPr>
            </w:pPr>
          </w:p>
        </w:tc>
        <w:tc>
          <w:tcPr>
            <w:tcW w:w="1982" w:type="dxa"/>
            <w:noWrap w:val="0"/>
            <w:vAlign w:val="top"/>
          </w:tcPr>
          <w:p>
            <w:pPr>
              <w:spacing w:line="360" w:lineRule="auto"/>
              <w:rPr>
                <w:rFonts w:hint="eastAsia" w:ascii="宋体" w:hAnsi="宋体" w:cs="宋体"/>
                <w:sz w:val="24"/>
                <w:highlight w:val="none"/>
              </w:rPr>
            </w:pPr>
          </w:p>
        </w:tc>
        <w:tc>
          <w:tcPr>
            <w:tcW w:w="1192" w:type="dxa"/>
            <w:noWrap w:val="0"/>
            <w:vAlign w:val="top"/>
          </w:tcPr>
          <w:p>
            <w:pPr>
              <w:spacing w:line="360" w:lineRule="auto"/>
              <w:rPr>
                <w:rFonts w:hint="eastAsia" w:ascii="宋体" w:hAnsi="宋体" w:cs="宋体"/>
                <w:sz w:val="24"/>
                <w:highlight w:val="none"/>
              </w:rPr>
            </w:pPr>
          </w:p>
        </w:tc>
        <w:tc>
          <w:tcPr>
            <w:tcW w:w="748" w:type="dxa"/>
            <w:noWrap w:val="0"/>
            <w:vAlign w:val="top"/>
          </w:tcPr>
          <w:p>
            <w:pPr>
              <w:spacing w:line="360" w:lineRule="auto"/>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1210" w:type="dxa"/>
            <w:noWrap w:val="0"/>
            <w:vAlign w:val="top"/>
          </w:tcPr>
          <w:p>
            <w:pPr>
              <w:spacing w:line="360" w:lineRule="auto"/>
              <w:rPr>
                <w:rFonts w:hint="eastAsia" w:ascii="宋体" w:hAnsi="宋体" w:cs="宋体"/>
                <w:sz w:val="24"/>
                <w:highlight w:val="none"/>
              </w:rPr>
            </w:pPr>
          </w:p>
        </w:tc>
        <w:tc>
          <w:tcPr>
            <w:tcW w:w="1074" w:type="dxa"/>
            <w:noWrap w:val="0"/>
            <w:vAlign w:val="top"/>
          </w:tcPr>
          <w:p>
            <w:pPr>
              <w:spacing w:line="360" w:lineRule="auto"/>
              <w:rPr>
                <w:rFonts w:hint="eastAsia" w:ascii="宋体" w:hAnsi="宋体" w:cs="宋体"/>
                <w:sz w:val="24"/>
                <w:highlight w:val="none"/>
              </w:rPr>
            </w:pPr>
          </w:p>
        </w:tc>
        <w:tc>
          <w:tcPr>
            <w:tcW w:w="2655" w:type="dxa"/>
            <w:noWrap w:val="0"/>
            <w:vAlign w:val="top"/>
          </w:tcPr>
          <w:p>
            <w:pPr>
              <w:spacing w:line="360" w:lineRule="auto"/>
              <w:rPr>
                <w:rFonts w:hint="eastAsia" w:ascii="宋体" w:hAnsi="宋体" w:cs="宋体"/>
                <w:sz w:val="24"/>
                <w:highlight w:val="none"/>
              </w:rPr>
            </w:pPr>
          </w:p>
        </w:tc>
        <w:tc>
          <w:tcPr>
            <w:tcW w:w="1982" w:type="dxa"/>
            <w:noWrap w:val="0"/>
            <w:vAlign w:val="top"/>
          </w:tcPr>
          <w:p>
            <w:pPr>
              <w:spacing w:line="360" w:lineRule="auto"/>
              <w:rPr>
                <w:rFonts w:hint="eastAsia" w:ascii="宋体" w:hAnsi="宋体" w:cs="宋体"/>
                <w:sz w:val="24"/>
                <w:highlight w:val="none"/>
              </w:rPr>
            </w:pPr>
          </w:p>
        </w:tc>
        <w:tc>
          <w:tcPr>
            <w:tcW w:w="1192" w:type="dxa"/>
            <w:noWrap w:val="0"/>
            <w:vAlign w:val="top"/>
          </w:tcPr>
          <w:p>
            <w:pPr>
              <w:spacing w:line="360" w:lineRule="auto"/>
              <w:rPr>
                <w:rFonts w:hint="eastAsia" w:ascii="宋体" w:hAnsi="宋体" w:cs="宋体"/>
                <w:sz w:val="24"/>
                <w:highlight w:val="none"/>
              </w:rPr>
            </w:pPr>
          </w:p>
        </w:tc>
        <w:tc>
          <w:tcPr>
            <w:tcW w:w="748" w:type="dxa"/>
            <w:noWrap w:val="0"/>
            <w:vAlign w:val="top"/>
          </w:tcPr>
          <w:p>
            <w:pPr>
              <w:spacing w:line="360" w:lineRule="auto"/>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1210" w:type="dxa"/>
            <w:noWrap w:val="0"/>
            <w:vAlign w:val="top"/>
          </w:tcPr>
          <w:p>
            <w:pPr>
              <w:spacing w:line="360" w:lineRule="auto"/>
              <w:rPr>
                <w:rFonts w:hint="eastAsia" w:ascii="宋体" w:hAnsi="宋体" w:cs="宋体"/>
                <w:sz w:val="24"/>
                <w:highlight w:val="none"/>
              </w:rPr>
            </w:pPr>
          </w:p>
        </w:tc>
        <w:tc>
          <w:tcPr>
            <w:tcW w:w="1074" w:type="dxa"/>
            <w:noWrap w:val="0"/>
            <w:vAlign w:val="top"/>
          </w:tcPr>
          <w:p>
            <w:pPr>
              <w:spacing w:line="360" w:lineRule="auto"/>
              <w:rPr>
                <w:rFonts w:hint="eastAsia" w:ascii="宋体" w:hAnsi="宋体" w:cs="宋体"/>
                <w:sz w:val="24"/>
                <w:highlight w:val="none"/>
              </w:rPr>
            </w:pPr>
          </w:p>
        </w:tc>
        <w:tc>
          <w:tcPr>
            <w:tcW w:w="2655" w:type="dxa"/>
            <w:noWrap w:val="0"/>
            <w:vAlign w:val="top"/>
          </w:tcPr>
          <w:p>
            <w:pPr>
              <w:spacing w:line="360" w:lineRule="auto"/>
              <w:rPr>
                <w:rFonts w:hint="eastAsia" w:ascii="宋体" w:hAnsi="宋体" w:cs="宋体"/>
                <w:sz w:val="24"/>
                <w:highlight w:val="none"/>
              </w:rPr>
            </w:pPr>
          </w:p>
        </w:tc>
        <w:tc>
          <w:tcPr>
            <w:tcW w:w="1982" w:type="dxa"/>
            <w:noWrap w:val="0"/>
            <w:vAlign w:val="top"/>
          </w:tcPr>
          <w:p>
            <w:pPr>
              <w:spacing w:line="360" w:lineRule="auto"/>
              <w:rPr>
                <w:rFonts w:hint="eastAsia" w:ascii="宋体" w:hAnsi="宋体" w:cs="宋体"/>
                <w:sz w:val="24"/>
                <w:highlight w:val="none"/>
              </w:rPr>
            </w:pPr>
          </w:p>
        </w:tc>
        <w:tc>
          <w:tcPr>
            <w:tcW w:w="1192" w:type="dxa"/>
            <w:noWrap w:val="0"/>
            <w:vAlign w:val="top"/>
          </w:tcPr>
          <w:p>
            <w:pPr>
              <w:spacing w:line="360" w:lineRule="auto"/>
              <w:rPr>
                <w:rFonts w:hint="eastAsia" w:ascii="宋体" w:hAnsi="宋体" w:cs="宋体"/>
                <w:sz w:val="24"/>
                <w:highlight w:val="none"/>
              </w:rPr>
            </w:pPr>
          </w:p>
        </w:tc>
        <w:tc>
          <w:tcPr>
            <w:tcW w:w="748" w:type="dxa"/>
            <w:noWrap w:val="0"/>
            <w:vAlign w:val="top"/>
          </w:tcPr>
          <w:p>
            <w:pPr>
              <w:spacing w:line="360" w:lineRule="auto"/>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1210" w:type="dxa"/>
            <w:noWrap w:val="0"/>
            <w:vAlign w:val="top"/>
          </w:tcPr>
          <w:p>
            <w:pPr>
              <w:spacing w:line="360" w:lineRule="auto"/>
              <w:outlineLvl w:val="0"/>
              <w:rPr>
                <w:rFonts w:hint="eastAsia" w:ascii="宋体" w:hAnsi="宋体" w:cs="宋体"/>
                <w:sz w:val="24"/>
                <w:highlight w:val="none"/>
              </w:rPr>
            </w:pPr>
            <w:bookmarkStart w:id="147" w:name="_Toc2973"/>
            <w:r>
              <w:rPr>
                <w:rFonts w:hint="eastAsia" w:ascii="宋体" w:hAnsi="宋体" w:cs="宋体"/>
                <w:sz w:val="24"/>
                <w:highlight w:val="none"/>
              </w:rPr>
              <w:t>…………</w:t>
            </w:r>
            <w:bookmarkEnd w:id="147"/>
          </w:p>
        </w:tc>
        <w:tc>
          <w:tcPr>
            <w:tcW w:w="1074" w:type="dxa"/>
            <w:noWrap w:val="0"/>
            <w:vAlign w:val="top"/>
          </w:tcPr>
          <w:p>
            <w:pPr>
              <w:spacing w:line="360" w:lineRule="auto"/>
              <w:rPr>
                <w:rFonts w:hint="eastAsia" w:ascii="宋体" w:hAnsi="宋体" w:cs="宋体"/>
                <w:sz w:val="24"/>
                <w:highlight w:val="none"/>
              </w:rPr>
            </w:pPr>
          </w:p>
        </w:tc>
        <w:tc>
          <w:tcPr>
            <w:tcW w:w="2655" w:type="dxa"/>
            <w:noWrap w:val="0"/>
            <w:vAlign w:val="top"/>
          </w:tcPr>
          <w:p>
            <w:pPr>
              <w:spacing w:line="360" w:lineRule="auto"/>
              <w:rPr>
                <w:rFonts w:hint="eastAsia" w:ascii="宋体" w:hAnsi="宋体" w:cs="宋体"/>
                <w:sz w:val="24"/>
                <w:highlight w:val="none"/>
              </w:rPr>
            </w:pPr>
          </w:p>
        </w:tc>
        <w:tc>
          <w:tcPr>
            <w:tcW w:w="1982" w:type="dxa"/>
            <w:noWrap w:val="0"/>
            <w:vAlign w:val="top"/>
          </w:tcPr>
          <w:p>
            <w:pPr>
              <w:spacing w:line="360" w:lineRule="auto"/>
              <w:rPr>
                <w:rFonts w:hint="eastAsia" w:ascii="宋体" w:hAnsi="宋体" w:cs="宋体"/>
                <w:sz w:val="24"/>
                <w:highlight w:val="none"/>
              </w:rPr>
            </w:pPr>
          </w:p>
        </w:tc>
        <w:tc>
          <w:tcPr>
            <w:tcW w:w="1192" w:type="dxa"/>
            <w:noWrap w:val="0"/>
            <w:vAlign w:val="top"/>
          </w:tcPr>
          <w:p>
            <w:pPr>
              <w:spacing w:line="360" w:lineRule="auto"/>
              <w:rPr>
                <w:rFonts w:hint="eastAsia" w:ascii="宋体" w:hAnsi="宋体" w:cs="宋体"/>
                <w:sz w:val="24"/>
                <w:highlight w:val="none"/>
              </w:rPr>
            </w:pPr>
          </w:p>
        </w:tc>
        <w:tc>
          <w:tcPr>
            <w:tcW w:w="748" w:type="dxa"/>
            <w:noWrap w:val="0"/>
            <w:vAlign w:val="top"/>
          </w:tcPr>
          <w:p>
            <w:pPr>
              <w:spacing w:line="360" w:lineRule="auto"/>
              <w:rPr>
                <w:rFonts w:hint="eastAsia" w:ascii="宋体" w:hAnsi="宋体" w:cs="宋体"/>
                <w:sz w:val="24"/>
                <w:highlight w:val="none"/>
              </w:rPr>
            </w:pPr>
          </w:p>
        </w:tc>
      </w:tr>
    </w:tbl>
    <w:p>
      <w:pPr>
        <w:spacing w:line="360" w:lineRule="auto"/>
        <w:rPr>
          <w:rFonts w:hint="eastAsia" w:ascii="宋体" w:hAnsi="宋体" w:cs="宋体"/>
          <w:szCs w:val="21"/>
          <w:highlight w:val="none"/>
        </w:rPr>
      </w:pPr>
    </w:p>
    <w:p>
      <w:pPr>
        <w:spacing w:line="360" w:lineRule="auto"/>
        <w:rPr>
          <w:rFonts w:hint="eastAsia" w:ascii="宋体" w:hAnsi="宋体" w:cs="宋体"/>
          <w:szCs w:val="21"/>
          <w:highlight w:val="none"/>
        </w:rPr>
      </w:pPr>
      <w:r>
        <w:rPr>
          <w:rFonts w:hint="eastAsia" w:ascii="宋体" w:hAnsi="宋体" w:cs="宋体"/>
          <w:szCs w:val="21"/>
          <w:highlight w:val="none"/>
        </w:rPr>
        <w:t>说明：</w:t>
      </w:r>
    </w:p>
    <w:p>
      <w:pPr>
        <w:pStyle w:val="8"/>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1.本表均应根据投标文件对招标文件的偏离情况相对应地填列。</w:t>
      </w:r>
    </w:p>
    <w:p>
      <w:pPr>
        <w:spacing w:line="360" w:lineRule="auto"/>
        <w:ind w:firstLine="480" w:firstLineChars="200"/>
        <w:rPr>
          <w:rFonts w:hint="eastAsia" w:ascii="宋体" w:hAnsi="宋体" w:cs="宋体"/>
          <w:szCs w:val="21"/>
          <w:highlight w:val="none"/>
        </w:rPr>
      </w:pPr>
      <w:r>
        <w:rPr>
          <w:rFonts w:hint="eastAsia" w:ascii="宋体" w:hAnsi="宋体" w:cs="宋体"/>
          <w:szCs w:val="21"/>
          <w:highlight w:val="none"/>
        </w:rPr>
        <w:t xml:space="preserve">2.表内如果填列不全，可另外附页说明并按规定签字和加盖公章。             </w:t>
      </w:r>
    </w:p>
    <w:p>
      <w:pPr>
        <w:spacing w:line="360" w:lineRule="auto"/>
        <w:ind w:firstLine="480" w:firstLineChars="200"/>
        <w:rPr>
          <w:rFonts w:hint="eastAsia" w:ascii="宋体" w:hAnsi="宋体" w:cs="宋体"/>
          <w:szCs w:val="21"/>
          <w:highlight w:val="none"/>
        </w:rPr>
      </w:pPr>
      <w:bookmarkStart w:id="148" w:name="_Toc18736"/>
      <w:r>
        <w:rPr>
          <w:rFonts w:hint="eastAsia" w:ascii="宋体" w:hAnsi="宋体" w:cs="宋体"/>
          <w:szCs w:val="21"/>
          <w:highlight w:val="none"/>
        </w:rPr>
        <w:t>3.采购人要求投标人认真填写本表。</w:t>
      </w:r>
      <w:bookmarkEnd w:id="148"/>
    </w:p>
    <w:p>
      <w:pPr>
        <w:spacing w:line="360" w:lineRule="auto"/>
        <w:ind w:firstLine="480" w:firstLineChars="200"/>
        <w:rPr>
          <w:rFonts w:hint="eastAsia" w:ascii="宋体" w:hAnsi="宋体" w:cs="宋体"/>
          <w:szCs w:val="21"/>
          <w:highlight w:val="none"/>
        </w:rPr>
      </w:pPr>
      <w:bookmarkStart w:id="149" w:name="_Toc31314"/>
      <w:r>
        <w:rPr>
          <w:rFonts w:hint="eastAsia" w:ascii="宋体" w:hAnsi="宋体" w:cs="宋体"/>
          <w:szCs w:val="21"/>
          <w:highlight w:val="none"/>
        </w:rPr>
        <w:t>4.此表可根据需要自行拉长加宽。</w:t>
      </w:r>
      <w:bookmarkEnd w:id="149"/>
    </w:p>
    <w:p>
      <w:pPr>
        <w:spacing w:line="360" w:lineRule="auto"/>
        <w:ind w:firstLine="480" w:firstLineChars="200"/>
        <w:rPr>
          <w:rFonts w:hint="eastAsia" w:ascii="宋体" w:hAnsi="宋体" w:cs="宋体"/>
          <w:szCs w:val="21"/>
          <w:highlight w:val="none"/>
        </w:rPr>
      </w:pPr>
      <w:bookmarkStart w:id="150" w:name="_Toc26566"/>
      <w:r>
        <w:rPr>
          <w:rFonts w:hint="eastAsia" w:ascii="宋体" w:hAnsi="宋体" w:cs="宋体"/>
          <w:szCs w:val="21"/>
          <w:highlight w:val="none"/>
        </w:rPr>
        <w:t>5.备注栏须填写正偏离或负偏离。</w:t>
      </w:r>
      <w:bookmarkEnd w:id="150"/>
    </w:p>
    <w:p>
      <w:pPr>
        <w:spacing w:line="360" w:lineRule="auto"/>
        <w:ind w:firstLine="480" w:firstLineChars="200"/>
        <w:rPr>
          <w:rFonts w:hint="eastAsia" w:ascii="宋体" w:hAnsi="宋体" w:cs="宋体"/>
          <w:szCs w:val="21"/>
          <w:highlight w:val="none"/>
        </w:rPr>
      </w:pPr>
    </w:p>
    <w:p>
      <w:pPr>
        <w:spacing w:line="360" w:lineRule="auto"/>
        <w:ind w:firstLine="480" w:firstLineChars="200"/>
        <w:rPr>
          <w:rFonts w:hint="eastAsia" w:ascii="宋体" w:hAnsi="宋体" w:cs="宋体"/>
          <w:szCs w:val="21"/>
          <w:highlight w:val="none"/>
        </w:rPr>
      </w:pPr>
      <w:r>
        <w:rPr>
          <w:rFonts w:hint="eastAsia" w:ascii="宋体" w:hAnsi="宋体" w:cs="宋体"/>
          <w:szCs w:val="21"/>
          <w:highlight w:val="none"/>
        </w:rPr>
        <w:t>投标单位全称（公章）：</w:t>
      </w:r>
    </w:p>
    <w:p>
      <w:pPr>
        <w:spacing w:line="360" w:lineRule="auto"/>
        <w:ind w:firstLine="480" w:firstLineChars="200"/>
        <w:rPr>
          <w:rFonts w:hint="eastAsia" w:ascii="宋体" w:hAnsi="宋体" w:cs="宋体"/>
          <w:szCs w:val="21"/>
          <w:highlight w:val="none"/>
        </w:rPr>
      </w:pPr>
      <w:r>
        <w:rPr>
          <w:rFonts w:hint="eastAsia" w:ascii="宋体" w:hAnsi="宋体" w:cs="宋体"/>
          <w:szCs w:val="21"/>
          <w:highlight w:val="none"/>
        </w:rPr>
        <w:t>单位负责人或授权代理人（签字）：</w:t>
      </w:r>
    </w:p>
    <w:p>
      <w:pPr>
        <w:spacing w:line="360" w:lineRule="auto"/>
        <w:ind w:firstLine="480" w:firstLineChars="200"/>
        <w:rPr>
          <w:rFonts w:hint="eastAsia" w:ascii="宋体" w:hAnsi="宋体" w:cs="宋体"/>
          <w:szCs w:val="21"/>
          <w:highlight w:val="none"/>
        </w:rPr>
      </w:pPr>
      <w:r>
        <w:rPr>
          <w:rFonts w:hint="eastAsia" w:ascii="宋体" w:hAnsi="宋体" w:cs="宋体"/>
          <w:szCs w:val="21"/>
          <w:highlight w:val="none"/>
        </w:rPr>
        <w:t>时间：     年  月  日</w:t>
      </w:r>
    </w:p>
    <w:p>
      <w:pPr>
        <w:spacing w:line="360" w:lineRule="auto"/>
        <w:ind w:firstLine="480" w:firstLineChars="200"/>
        <w:rPr>
          <w:rFonts w:hint="eastAsia" w:ascii="宋体" w:hAnsi="宋体" w:cs="宋体"/>
          <w:szCs w:val="21"/>
          <w:highlight w:val="none"/>
        </w:rPr>
      </w:pPr>
    </w:p>
    <w:p>
      <w:pPr>
        <w:spacing w:line="360" w:lineRule="auto"/>
        <w:ind w:firstLine="480" w:firstLineChars="200"/>
        <w:rPr>
          <w:rFonts w:hint="eastAsia" w:ascii="宋体" w:hAnsi="宋体" w:cs="宋体"/>
          <w:szCs w:val="21"/>
          <w:highlight w:val="none"/>
        </w:rPr>
      </w:pPr>
    </w:p>
    <w:p>
      <w:pPr>
        <w:spacing w:line="360" w:lineRule="auto"/>
        <w:ind w:firstLine="480" w:firstLineChars="200"/>
        <w:rPr>
          <w:rFonts w:hint="eastAsia" w:ascii="宋体" w:hAnsi="宋体" w:cs="宋体"/>
          <w:szCs w:val="21"/>
          <w:highlight w:val="none"/>
        </w:rPr>
      </w:pPr>
    </w:p>
    <w:p>
      <w:pPr>
        <w:spacing w:line="360" w:lineRule="auto"/>
        <w:ind w:firstLine="480" w:firstLineChars="200"/>
        <w:rPr>
          <w:rFonts w:hint="eastAsia" w:ascii="宋体" w:hAnsi="宋体" w:cs="宋体"/>
          <w:szCs w:val="21"/>
          <w:highlight w:val="none"/>
          <w:lang w:val="en-US" w:eastAsia="zh-CN"/>
        </w:rPr>
      </w:pPr>
    </w:p>
    <w:p>
      <w:pPr>
        <w:pStyle w:val="3"/>
        <w:numPr>
          <w:ilvl w:val="0"/>
          <w:numId w:val="0"/>
        </w:numPr>
        <w:spacing w:before="0" w:line="360" w:lineRule="auto"/>
        <w:jc w:val="center"/>
        <w:rPr>
          <w:rFonts w:hint="eastAsia" w:ascii="仿宋" w:hAnsi="仿宋" w:eastAsia="仿宋" w:cs="仿宋"/>
          <w:b/>
          <w:color w:val="auto"/>
          <w:sz w:val="32"/>
          <w:szCs w:val="30"/>
          <w:highlight w:val="none"/>
          <w:lang w:val="zh-CN" w:eastAsia="zh-CN"/>
        </w:rPr>
      </w:pPr>
      <w:r>
        <w:rPr>
          <w:rFonts w:hint="eastAsia" w:ascii="仿宋" w:hAnsi="仿宋" w:eastAsia="仿宋" w:cs="仿宋"/>
          <w:b/>
          <w:color w:val="auto"/>
          <w:sz w:val="32"/>
          <w:szCs w:val="30"/>
          <w:highlight w:val="none"/>
          <w:lang w:val="en-US" w:eastAsia="zh-CN"/>
        </w:rPr>
        <w:t>九、</w:t>
      </w:r>
      <w:r>
        <w:rPr>
          <w:rFonts w:hint="eastAsia" w:ascii="仿宋" w:hAnsi="仿宋" w:eastAsia="仿宋" w:cs="仿宋"/>
          <w:b/>
          <w:color w:val="auto"/>
          <w:sz w:val="32"/>
          <w:szCs w:val="30"/>
          <w:highlight w:val="none"/>
          <w:lang w:val="zh-CN" w:eastAsia="zh-CN"/>
        </w:rPr>
        <w:t>技术因素评审内容</w:t>
      </w:r>
    </w:p>
    <w:p>
      <w:pPr>
        <w:pStyle w:val="19"/>
        <w:spacing w:line="360" w:lineRule="exact"/>
        <w:outlineLvl w:val="9"/>
        <w:rPr>
          <w:rFonts w:hint="eastAsia" w:ascii="仿宋" w:hAnsi="仿宋" w:eastAsia="仿宋" w:cs="仿宋"/>
          <w:b w:val="0"/>
          <w:color w:val="auto"/>
          <w:sz w:val="21"/>
          <w:szCs w:val="21"/>
          <w:highlight w:val="none"/>
          <w:lang w:val="zh-CN"/>
        </w:rPr>
      </w:pPr>
    </w:p>
    <w:p>
      <w:pPr>
        <w:spacing w:line="360" w:lineRule="auto"/>
        <w:jc w:val="center"/>
        <w:rPr>
          <w:rFonts w:hint="eastAsia" w:ascii="宋体" w:cs="宋体"/>
          <w:color w:val="000000"/>
          <w:kern w:val="0"/>
          <w:sz w:val="24"/>
          <w:szCs w:val="24"/>
          <w:highlight w:val="none"/>
        </w:rPr>
      </w:pPr>
      <w:r>
        <w:rPr>
          <w:rFonts w:hint="eastAsia" w:ascii="宋体" w:cs="宋体"/>
          <w:color w:val="000000"/>
          <w:kern w:val="0"/>
          <w:sz w:val="24"/>
          <w:szCs w:val="24"/>
          <w:highlight w:val="none"/>
        </w:rPr>
        <w:t>（以上项无固定格式，由投标人自行填写。）</w:t>
      </w:r>
    </w:p>
    <w:p>
      <w:pPr>
        <w:rPr>
          <w:rFonts w:hint="eastAsia" w:ascii="仿宋" w:hAnsi="仿宋" w:eastAsia="仿宋" w:cs="仿宋"/>
          <w:b/>
          <w:color w:val="auto"/>
          <w:sz w:val="32"/>
          <w:szCs w:val="30"/>
          <w:highlight w:val="none"/>
          <w:lang w:val="zh-CN" w:eastAsia="zh-CN"/>
        </w:rPr>
      </w:pPr>
      <w:r>
        <w:rPr>
          <w:rFonts w:hint="eastAsia" w:ascii="仿宋" w:hAnsi="仿宋" w:eastAsia="仿宋" w:cs="仿宋"/>
          <w:b/>
          <w:color w:val="auto"/>
          <w:sz w:val="32"/>
          <w:szCs w:val="30"/>
          <w:highlight w:val="none"/>
          <w:lang w:val="zh-CN" w:eastAsia="zh-CN"/>
        </w:rPr>
        <w:br w:type="page"/>
      </w:r>
    </w:p>
    <w:p>
      <w:pPr>
        <w:pStyle w:val="3"/>
        <w:numPr>
          <w:ilvl w:val="0"/>
          <w:numId w:val="0"/>
        </w:numPr>
        <w:spacing w:before="0" w:line="360" w:lineRule="auto"/>
        <w:ind w:left="0" w:leftChars="0" w:firstLine="642" w:firstLineChars="200"/>
        <w:jc w:val="center"/>
        <w:rPr>
          <w:rFonts w:hint="eastAsia" w:ascii="仿宋" w:hAnsi="仿宋" w:eastAsia="仿宋" w:cs="仿宋"/>
          <w:b/>
          <w:color w:val="auto"/>
          <w:sz w:val="32"/>
          <w:szCs w:val="30"/>
          <w:highlight w:val="none"/>
          <w:lang w:val="en-US" w:eastAsia="zh-CN"/>
        </w:rPr>
      </w:pPr>
      <w:r>
        <w:rPr>
          <w:rFonts w:hint="eastAsia" w:ascii="仿宋" w:hAnsi="仿宋" w:eastAsia="仿宋" w:cs="仿宋"/>
          <w:b/>
          <w:bCs/>
          <w:color w:val="auto"/>
          <w:kern w:val="2"/>
          <w:sz w:val="32"/>
          <w:szCs w:val="30"/>
          <w:highlight w:val="none"/>
          <w:lang w:val="en-US" w:eastAsia="zh-CN" w:bidi="ar-SA"/>
        </w:rPr>
        <w:t>十、</w:t>
      </w:r>
      <w:r>
        <w:rPr>
          <w:rFonts w:hint="eastAsia" w:ascii="仿宋" w:hAnsi="仿宋" w:eastAsia="仿宋" w:cs="仿宋"/>
          <w:b/>
          <w:color w:val="auto"/>
          <w:sz w:val="32"/>
          <w:szCs w:val="30"/>
          <w:highlight w:val="none"/>
          <w:lang w:val="zh-CN" w:eastAsia="zh-CN"/>
        </w:rPr>
        <w:t>投标单位认为需要提供的其他材料</w:t>
      </w:r>
    </w:p>
    <w:p>
      <w:pPr>
        <w:bidi w:val="0"/>
        <w:jc w:val="center"/>
        <w:rPr>
          <w:rFonts w:hint="eastAsia" w:ascii="仿宋" w:hAnsi="仿宋" w:eastAsia="仿宋" w:cs="仿宋"/>
          <w:b/>
          <w:color w:val="auto"/>
          <w:szCs w:val="30"/>
          <w:highlight w:val="none"/>
          <w:lang w:val="en-US" w:eastAsia="zh-CN"/>
        </w:rPr>
      </w:pPr>
      <w:r>
        <w:rPr>
          <w:rFonts w:hint="eastAsia"/>
          <w:highlight w:val="none"/>
          <w:lang w:val="en-US" w:eastAsia="zh-CN"/>
        </w:rPr>
        <w:t>格式自拟</w:t>
      </w:r>
      <w:r>
        <w:rPr>
          <w:rFonts w:hint="eastAsia" w:ascii="仿宋" w:hAnsi="仿宋" w:eastAsia="仿宋" w:cs="仿宋"/>
          <w:b/>
          <w:color w:val="auto"/>
          <w:szCs w:val="30"/>
          <w:highlight w:val="none"/>
          <w:lang w:val="zh-CN" w:eastAsia="zh-CN"/>
        </w:rPr>
        <w:br w:type="page"/>
      </w:r>
    </w:p>
    <w:p>
      <w:pPr>
        <w:pStyle w:val="2"/>
        <w:numPr>
          <w:ilvl w:val="0"/>
          <w:numId w:val="0"/>
        </w:numPr>
        <w:spacing w:line="240" w:lineRule="auto"/>
        <w:ind w:leftChars="0"/>
        <w:jc w:val="center"/>
        <w:rPr>
          <w:rFonts w:hint="eastAsia" w:ascii="仿宋" w:hAnsi="仿宋" w:eastAsia="仿宋" w:cs="仿宋"/>
          <w:b w:val="0"/>
          <w:bCs w:val="0"/>
          <w:color w:val="auto"/>
          <w:sz w:val="48"/>
          <w:szCs w:val="22"/>
          <w:highlight w:val="none"/>
          <w:lang w:val="en-US" w:eastAsia="zh-CN"/>
        </w:rPr>
      </w:pPr>
      <w:bookmarkStart w:id="151" w:name="_Toc5420"/>
      <w:r>
        <w:rPr>
          <w:rFonts w:hint="eastAsia" w:ascii="仿宋" w:hAnsi="仿宋" w:eastAsia="仿宋" w:cs="仿宋"/>
          <w:b/>
          <w:bCs/>
          <w:color w:val="auto"/>
          <w:highlight w:val="none"/>
          <w:lang w:val="en-US" w:eastAsia="zh-CN"/>
        </w:rPr>
        <w:t>第</w:t>
      </w:r>
      <w:r>
        <w:rPr>
          <w:rFonts w:hint="eastAsia" w:cs="仿宋"/>
          <w:b/>
          <w:bCs/>
          <w:color w:val="auto"/>
          <w:highlight w:val="none"/>
          <w:lang w:val="en-US" w:eastAsia="zh-CN"/>
        </w:rPr>
        <w:t>七</w:t>
      </w:r>
      <w:r>
        <w:rPr>
          <w:rFonts w:hint="eastAsia" w:ascii="仿宋" w:hAnsi="仿宋" w:eastAsia="仿宋" w:cs="仿宋"/>
          <w:b/>
          <w:bCs/>
          <w:color w:val="auto"/>
          <w:highlight w:val="none"/>
          <w:lang w:val="en-US" w:eastAsia="zh-CN"/>
        </w:rPr>
        <w:t>章</w:t>
      </w:r>
      <w:r>
        <w:rPr>
          <w:rFonts w:hint="eastAsia" w:ascii="仿宋" w:hAnsi="仿宋" w:eastAsia="仿宋" w:cs="仿宋"/>
          <w:color w:val="auto"/>
          <w:highlight w:val="none"/>
          <w:lang w:val="en-US" w:eastAsia="zh-CN"/>
        </w:rPr>
        <w:t xml:space="preserve"> </w:t>
      </w:r>
      <w:r>
        <w:rPr>
          <w:rFonts w:hint="eastAsia" w:ascii="仿宋" w:hAnsi="仿宋" w:eastAsia="仿宋" w:cs="仿宋"/>
          <w:b/>
          <w:bCs/>
          <w:color w:val="auto"/>
          <w:szCs w:val="44"/>
          <w:highlight w:val="none"/>
          <w:lang w:eastAsia="zh-CN"/>
        </w:rPr>
        <w:t>评标办法</w:t>
      </w:r>
      <w:bookmarkEnd w:id="122"/>
      <w:bookmarkEnd w:id="151"/>
    </w:p>
    <w:p>
      <w:pPr>
        <w:numPr>
          <w:ilvl w:val="0"/>
          <w:numId w:val="0"/>
        </w:numPr>
        <w:spacing w:line="240" w:lineRule="auto"/>
        <w:ind w:leftChars="0"/>
        <w:jc w:val="center"/>
        <w:outlineLvl w:val="9"/>
        <w:rPr>
          <w:rFonts w:hint="eastAsia" w:ascii="仿宋" w:hAnsi="仿宋" w:eastAsia="仿宋" w:cs="仿宋"/>
          <w:b w:val="0"/>
          <w:bCs w:val="0"/>
          <w:color w:val="auto"/>
          <w:sz w:val="32"/>
          <w:szCs w:val="16"/>
          <w:highlight w:val="none"/>
          <w:lang w:val="en-US" w:eastAsia="zh-CN"/>
        </w:rPr>
      </w:pPr>
      <w:bookmarkStart w:id="152" w:name="_Toc27964"/>
      <w:r>
        <w:rPr>
          <w:rFonts w:hint="eastAsia" w:ascii="仿宋" w:hAnsi="仿宋" w:eastAsia="仿宋" w:cs="仿宋"/>
          <w:b w:val="0"/>
          <w:bCs w:val="0"/>
          <w:color w:val="auto"/>
          <w:sz w:val="32"/>
          <w:szCs w:val="16"/>
          <w:highlight w:val="none"/>
          <w:lang w:eastAsia="zh-CN"/>
        </w:rPr>
        <w:t>（综合评估法）</w:t>
      </w:r>
      <w:bookmarkEnd w:id="152"/>
    </w:p>
    <w:p>
      <w:pPr>
        <w:numPr>
          <w:ilvl w:val="0"/>
          <w:numId w:val="0"/>
        </w:numPr>
        <w:spacing w:line="240" w:lineRule="auto"/>
        <w:ind w:leftChars="0"/>
        <w:jc w:val="center"/>
        <w:outlineLvl w:val="9"/>
        <w:rPr>
          <w:rFonts w:hint="eastAsia" w:ascii="仿宋" w:hAnsi="仿宋" w:eastAsia="仿宋" w:cs="仿宋"/>
          <w:b w:val="0"/>
          <w:bCs w:val="0"/>
          <w:color w:val="auto"/>
          <w:sz w:val="32"/>
          <w:szCs w:val="16"/>
          <w:highlight w:val="none"/>
          <w:lang w:eastAsia="zh-CN"/>
        </w:rPr>
      </w:pPr>
      <w:bookmarkStart w:id="153" w:name="_Toc471726704"/>
      <w:bookmarkStart w:id="154" w:name="_Toc525929464"/>
      <w:r>
        <w:rPr>
          <w:rFonts w:hint="eastAsia" w:ascii="仿宋" w:hAnsi="仿宋" w:eastAsia="仿宋" w:cs="仿宋"/>
          <w:b w:val="0"/>
          <w:bCs w:val="0"/>
          <w:color w:val="auto"/>
          <w:sz w:val="32"/>
          <w:szCs w:val="16"/>
          <w:highlight w:val="none"/>
          <w:lang w:eastAsia="zh-CN"/>
        </w:rPr>
        <w:t>评标办法正文</w:t>
      </w:r>
      <w:bookmarkEnd w:id="153"/>
      <w:bookmarkEnd w:id="154"/>
    </w:p>
    <w:p>
      <w:pPr>
        <w:keepNext w:val="0"/>
        <w:keepLines w:val="0"/>
        <w:pageBreakBefore w:val="0"/>
        <w:widowControl/>
        <w:kinsoku/>
        <w:wordWrap/>
        <w:overflowPunct/>
        <w:topLinePunct w:val="0"/>
        <w:autoSpaceDE/>
        <w:autoSpaceDN/>
        <w:bidi w:val="0"/>
        <w:adjustRightInd/>
        <w:snapToGrid/>
        <w:spacing w:before="136" w:beforeLines="50" w:after="136" w:afterLines="50" w:line="240" w:lineRule="auto"/>
        <w:ind w:left="0" w:leftChars="0" w:firstLine="0" w:firstLineChars="0"/>
        <w:textAlignment w:val="auto"/>
        <w:outlineLvl w:val="1"/>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一、评标须知</w:t>
      </w:r>
    </w:p>
    <w:p>
      <w:pPr>
        <w:keepNext w:val="0"/>
        <w:keepLines w:val="0"/>
        <w:pageBreakBefore w:val="0"/>
        <w:widowControl/>
        <w:tabs>
          <w:tab w:val="left" w:pos="0"/>
        </w:tabs>
        <w:kinsoku/>
        <w:wordWrap/>
        <w:overflowPunct/>
        <w:topLinePunct w:val="0"/>
        <w:autoSpaceDE/>
        <w:autoSpaceDN/>
        <w:bidi w:val="0"/>
        <w:adjustRightInd/>
        <w:snapToGrid/>
        <w:spacing w:before="157" w:beforeLines="50" w:after="157" w:afterLines="50" w:line="240" w:lineRule="auto"/>
        <w:jc w:val="left"/>
        <w:textAlignment w:val="auto"/>
        <w:rPr>
          <w:rFonts w:hint="eastAsia" w:ascii="仿宋" w:hAnsi="仿宋" w:eastAsia="仿宋" w:cs="仿宋"/>
          <w:b/>
          <w:color w:val="000000"/>
          <w:sz w:val="21"/>
          <w:szCs w:val="21"/>
          <w:highlight w:val="none"/>
        </w:rPr>
      </w:pPr>
      <w:r>
        <w:rPr>
          <w:rFonts w:hint="eastAsia" w:ascii="仿宋" w:hAnsi="仿宋" w:eastAsia="仿宋" w:cs="仿宋"/>
          <w:b/>
          <w:color w:val="000000"/>
          <w:sz w:val="21"/>
          <w:szCs w:val="21"/>
          <w:highlight w:val="none"/>
        </w:rPr>
        <w:t>1.关于评标方案</w:t>
      </w:r>
    </w:p>
    <w:p>
      <w:pPr>
        <w:tabs>
          <w:tab w:val="left" w:pos="0"/>
        </w:tabs>
        <w:spacing w:line="240" w:lineRule="auto"/>
        <w:ind w:firstLine="420" w:firstLineChars="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（1）评标委员会的每位成员（简称评委）应认真地阅读并确认已经正确理解了评标方案；</w:t>
      </w:r>
    </w:p>
    <w:p>
      <w:pPr>
        <w:tabs>
          <w:tab w:val="left" w:pos="0"/>
        </w:tabs>
        <w:spacing w:line="240" w:lineRule="auto"/>
        <w:ind w:firstLine="420" w:firstLineChars="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（2）评委如对评标方案有异议，应在评标开始前提出。</w:t>
      </w:r>
    </w:p>
    <w:p>
      <w:pPr>
        <w:keepNext w:val="0"/>
        <w:keepLines w:val="0"/>
        <w:pageBreakBefore w:val="0"/>
        <w:widowControl/>
        <w:tabs>
          <w:tab w:val="left" w:pos="0"/>
        </w:tabs>
        <w:kinsoku/>
        <w:wordWrap/>
        <w:overflowPunct/>
        <w:topLinePunct w:val="0"/>
        <w:autoSpaceDE/>
        <w:autoSpaceDN/>
        <w:bidi w:val="0"/>
        <w:adjustRightInd/>
        <w:snapToGrid/>
        <w:spacing w:before="157" w:beforeLines="50" w:after="157" w:afterLines="50" w:line="240" w:lineRule="auto"/>
        <w:jc w:val="left"/>
        <w:textAlignment w:val="auto"/>
        <w:rPr>
          <w:rFonts w:hint="eastAsia" w:ascii="仿宋" w:hAnsi="仿宋" w:eastAsia="仿宋" w:cs="仿宋"/>
          <w:b/>
          <w:color w:val="000000"/>
          <w:sz w:val="21"/>
          <w:szCs w:val="21"/>
          <w:highlight w:val="none"/>
        </w:rPr>
      </w:pPr>
      <w:r>
        <w:rPr>
          <w:rFonts w:hint="eastAsia" w:ascii="仿宋" w:hAnsi="仿宋" w:eastAsia="仿宋" w:cs="仿宋"/>
          <w:b/>
          <w:color w:val="000000"/>
          <w:sz w:val="21"/>
          <w:szCs w:val="21"/>
          <w:highlight w:val="none"/>
        </w:rPr>
        <w:t>2.关于评标纪律</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评标委员会及其成员不得有下列行为：</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（一）确定参与评标至评标结束前私自接触供应商</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（二）接受供应商提出的与投标文件不一致的澄清或者说明；</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（三）违反评标纪律发表倾向性意见或者征询采购人的倾向性意见；</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（四）对需要专业判断的主观评审因素协商评分；</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（五）在评标过程中擅离职守，影响评标程序正常进行的；</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（六）记录、复制或者带走任何评标资料；</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（七）其他不遵守评标纪律的行为。</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评标委员会成员有前款第一至五项行为之一的，其评审意见无效，并不得获取评审劳务报酬和报销异地评审差旅费。</w:t>
      </w:r>
    </w:p>
    <w:p>
      <w:pPr>
        <w:keepNext w:val="0"/>
        <w:keepLines w:val="0"/>
        <w:pageBreakBefore w:val="0"/>
        <w:widowControl/>
        <w:tabs>
          <w:tab w:val="left" w:pos="0"/>
        </w:tabs>
        <w:kinsoku/>
        <w:wordWrap/>
        <w:overflowPunct/>
        <w:topLinePunct w:val="0"/>
        <w:autoSpaceDE/>
        <w:autoSpaceDN/>
        <w:bidi w:val="0"/>
        <w:adjustRightInd/>
        <w:snapToGrid/>
        <w:spacing w:before="157" w:beforeLines="50" w:after="157" w:afterLines="50" w:line="240" w:lineRule="auto"/>
        <w:jc w:val="left"/>
        <w:textAlignment w:val="auto"/>
        <w:rPr>
          <w:rFonts w:hint="eastAsia" w:ascii="仿宋" w:hAnsi="仿宋" w:eastAsia="仿宋" w:cs="仿宋"/>
          <w:b/>
          <w:color w:val="000000"/>
          <w:sz w:val="21"/>
          <w:szCs w:val="21"/>
          <w:highlight w:val="none"/>
        </w:rPr>
      </w:pPr>
      <w:r>
        <w:rPr>
          <w:rFonts w:hint="eastAsia" w:ascii="仿宋" w:hAnsi="仿宋" w:eastAsia="仿宋" w:cs="仿宋"/>
          <w:b/>
          <w:color w:val="000000"/>
          <w:sz w:val="21"/>
          <w:szCs w:val="21"/>
          <w:highlight w:val="none"/>
        </w:rPr>
        <w:t>3.关于评标责任</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（1）评委应在其书面评审意见上签字确认</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（2）评委对其所提出的评审意见承担个人责任。</w:t>
      </w:r>
    </w:p>
    <w:p>
      <w:pPr>
        <w:keepNext w:val="0"/>
        <w:keepLines w:val="0"/>
        <w:pageBreakBefore w:val="0"/>
        <w:widowControl/>
        <w:tabs>
          <w:tab w:val="left" w:pos="0"/>
        </w:tabs>
        <w:kinsoku/>
        <w:wordWrap/>
        <w:overflowPunct/>
        <w:topLinePunct w:val="0"/>
        <w:autoSpaceDE/>
        <w:autoSpaceDN/>
        <w:bidi w:val="0"/>
        <w:adjustRightInd/>
        <w:snapToGrid/>
        <w:spacing w:before="157" w:beforeLines="50" w:after="157" w:afterLines="50" w:line="240" w:lineRule="auto"/>
        <w:jc w:val="left"/>
        <w:textAlignment w:val="auto"/>
        <w:rPr>
          <w:rFonts w:hint="eastAsia" w:ascii="仿宋" w:hAnsi="仿宋" w:eastAsia="仿宋" w:cs="仿宋"/>
          <w:b/>
          <w:color w:val="000000"/>
          <w:sz w:val="21"/>
          <w:szCs w:val="21"/>
          <w:highlight w:val="none"/>
        </w:rPr>
      </w:pPr>
      <w:r>
        <w:rPr>
          <w:rFonts w:hint="eastAsia" w:ascii="仿宋" w:hAnsi="仿宋" w:eastAsia="仿宋" w:cs="仿宋"/>
          <w:b/>
          <w:color w:val="000000"/>
          <w:sz w:val="21"/>
          <w:szCs w:val="21"/>
          <w:highlight w:val="none"/>
        </w:rPr>
        <w:t>4.关于回避</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有下列情形之一的，不得担任评标委员会成员，如事先不知情的，应在宣读供应商名单及评标纪律后主动提出回避：</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（1）供应商或供应商主要负责人的近亲属；</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（2）项目主管部门或者行政监督部门的人员</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（3）与供应商有经济利益关系，可能影响对投标公正评审的；</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（4）曾因在招标、评标以及其他与招标投标有关活动中从事违法行为而受过行政处罚或刑事处罚的；</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（5）与供应商有其他利害关系。</w:t>
      </w:r>
    </w:p>
    <w:p>
      <w:pPr>
        <w:keepNext w:val="0"/>
        <w:keepLines w:val="0"/>
        <w:pageBreakBefore w:val="0"/>
        <w:widowControl/>
        <w:tabs>
          <w:tab w:val="left" w:pos="0"/>
        </w:tabs>
        <w:kinsoku/>
        <w:wordWrap/>
        <w:overflowPunct/>
        <w:topLinePunct w:val="0"/>
        <w:autoSpaceDE/>
        <w:autoSpaceDN/>
        <w:bidi w:val="0"/>
        <w:adjustRightInd/>
        <w:snapToGrid/>
        <w:spacing w:before="157" w:beforeLines="50" w:after="157" w:afterLines="50" w:line="240" w:lineRule="auto"/>
        <w:jc w:val="left"/>
        <w:textAlignment w:val="auto"/>
        <w:rPr>
          <w:rFonts w:hint="eastAsia" w:ascii="仿宋" w:hAnsi="仿宋" w:eastAsia="仿宋" w:cs="仿宋"/>
          <w:b/>
          <w:color w:val="000000"/>
          <w:sz w:val="21"/>
          <w:szCs w:val="21"/>
          <w:highlight w:val="none"/>
        </w:rPr>
      </w:pPr>
      <w:r>
        <w:rPr>
          <w:rFonts w:hint="eastAsia" w:ascii="仿宋" w:hAnsi="仿宋" w:eastAsia="仿宋" w:cs="仿宋"/>
          <w:b/>
          <w:color w:val="000000"/>
          <w:sz w:val="21"/>
          <w:szCs w:val="21"/>
          <w:highlight w:val="none"/>
        </w:rPr>
        <w:t>5.关于保密</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评标委员会成员和与评标活动有关的工作人员不得透露对投标文件的评审和比较、中标候选人的推荐情况以及评标有关的其他情况。</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前款所称与评标活动有关的工作人员，是指评标委员会成员以外的因参与评标监督工作或者事务性工作而知悉有关评标情况的所有人员。</w:t>
      </w:r>
    </w:p>
    <w:p>
      <w:pPr>
        <w:keepNext w:val="0"/>
        <w:keepLines w:val="0"/>
        <w:pageBreakBefore w:val="0"/>
        <w:widowControl/>
        <w:kinsoku/>
        <w:wordWrap/>
        <w:overflowPunct/>
        <w:topLinePunct w:val="0"/>
        <w:autoSpaceDE/>
        <w:autoSpaceDN/>
        <w:bidi w:val="0"/>
        <w:adjustRightInd/>
        <w:snapToGrid/>
        <w:spacing w:before="136" w:beforeLines="50" w:after="136" w:afterLines="50" w:line="240" w:lineRule="auto"/>
        <w:ind w:left="0" w:leftChars="0" w:firstLine="0" w:firstLineChars="0"/>
        <w:textAlignment w:val="auto"/>
        <w:outlineLvl w:val="1"/>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二、评标原则</w:t>
      </w:r>
    </w:p>
    <w:p>
      <w:pPr>
        <w:keepNext w:val="0"/>
        <w:keepLines w:val="0"/>
        <w:pageBreakBefore w:val="0"/>
        <w:widowControl/>
        <w:tabs>
          <w:tab w:val="left" w:pos="0"/>
        </w:tabs>
        <w:kinsoku/>
        <w:wordWrap/>
        <w:overflowPunct/>
        <w:topLinePunct w:val="0"/>
        <w:autoSpaceDE/>
        <w:autoSpaceDN/>
        <w:bidi w:val="0"/>
        <w:adjustRightInd/>
        <w:snapToGrid/>
        <w:spacing w:before="157" w:beforeLines="50" w:after="157" w:afterLines="50" w:line="240" w:lineRule="auto"/>
        <w:jc w:val="left"/>
        <w:textAlignment w:val="auto"/>
        <w:rPr>
          <w:rFonts w:hint="eastAsia" w:ascii="仿宋" w:hAnsi="仿宋" w:eastAsia="仿宋" w:cs="仿宋"/>
          <w:b/>
          <w:color w:val="000000"/>
          <w:sz w:val="21"/>
          <w:szCs w:val="21"/>
          <w:highlight w:val="none"/>
        </w:rPr>
      </w:pPr>
      <w:r>
        <w:rPr>
          <w:rFonts w:hint="eastAsia" w:ascii="仿宋" w:hAnsi="仿宋" w:eastAsia="仿宋" w:cs="仿宋"/>
          <w:b/>
          <w:color w:val="000000"/>
          <w:sz w:val="21"/>
          <w:szCs w:val="21"/>
          <w:highlight w:val="none"/>
        </w:rPr>
        <w:t>1.评标方法</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本次评标采用综合评分法。评标委员会对满足招标文件全部实质性要求的投标文件，按照本章第2.2款规定的评分标准进行打分，并按得分由高到低顺序推荐中标候选人，但投标报价低于其成本的除外。综合评分相等时，以投标报价低的优先；得分且投标报价相同的并列。投标文件满足招标文件全部实质性要求，且按照评审因素的量化指标评审得分最高的供应商为排名第一的中标候选人，依次排列。提供相同品牌产品且通过资格审查、符合性审查的不同供应商参加同一合同项下投标的，按一家供应商计算，评审后得分最高的同品牌供应商获得中标供应商推荐资格；得分相同的，按投标报价最低的同品牌供应商确定一个供应商获得中标供应商推荐资格；得分且投标报价也相同的，按技术标评审得分最高的同品牌供应商确定一个供应商获得中标供应商推荐资格。</w:t>
      </w:r>
    </w:p>
    <w:p>
      <w:pPr>
        <w:keepNext w:val="0"/>
        <w:keepLines w:val="0"/>
        <w:pageBreakBefore w:val="0"/>
        <w:widowControl/>
        <w:tabs>
          <w:tab w:val="left" w:pos="0"/>
        </w:tabs>
        <w:kinsoku/>
        <w:wordWrap/>
        <w:overflowPunct/>
        <w:topLinePunct w:val="0"/>
        <w:autoSpaceDE/>
        <w:autoSpaceDN/>
        <w:bidi w:val="0"/>
        <w:adjustRightInd/>
        <w:snapToGrid/>
        <w:spacing w:before="157" w:beforeLines="50" w:after="157" w:afterLines="50" w:line="240" w:lineRule="auto"/>
        <w:jc w:val="left"/>
        <w:textAlignment w:val="auto"/>
        <w:rPr>
          <w:rFonts w:hint="eastAsia" w:ascii="仿宋" w:hAnsi="仿宋" w:eastAsia="仿宋" w:cs="仿宋"/>
          <w:b/>
          <w:color w:val="000000"/>
          <w:sz w:val="21"/>
          <w:szCs w:val="21"/>
          <w:highlight w:val="none"/>
        </w:rPr>
      </w:pPr>
      <w:r>
        <w:rPr>
          <w:rFonts w:hint="eastAsia" w:ascii="仿宋" w:hAnsi="仿宋" w:eastAsia="仿宋" w:cs="仿宋"/>
          <w:b/>
          <w:color w:val="000000"/>
          <w:sz w:val="21"/>
          <w:szCs w:val="21"/>
          <w:highlight w:val="none"/>
        </w:rPr>
        <w:t>2.评审标准</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2.1初步评审标准</w:t>
      </w:r>
    </w:p>
    <w:p>
      <w:pPr>
        <w:tabs>
          <w:tab w:val="left" w:pos="0"/>
        </w:tabs>
        <w:spacing w:line="240" w:lineRule="auto"/>
        <w:ind w:left="420" w:leftChars="0"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2.1.1 形式评审标准：见评标办法前附表。</w:t>
      </w:r>
    </w:p>
    <w:p>
      <w:pPr>
        <w:tabs>
          <w:tab w:val="left" w:pos="0"/>
        </w:tabs>
        <w:spacing w:line="240" w:lineRule="auto"/>
        <w:ind w:left="420" w:leftChars="0"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2.1.2 资格评审标准：见评标办法前附表。</w:t>
      </w:r>
    </w:p>
    <w:p>
      <w:pPr>
        <w:tabs>
          <w:tab w:val="left" w:pos="0"/>
        </w:tabs>
        <w:spacing w:line="240" w:lineRule="auto"/>
        <w:ind w:left="420" w:leftChars="0"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2.1.3 响应性评审标准：见评标办法前附表。</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2.2分值构成与评分标准</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2.2.1 分值构成</w:t>
      </w:r>
    </w:p>
    <w:p>
      <w:pPr>
        <w:tabs>
          <w:tab w:val="left" w:pos="0"/>
        </w:tabs>
        <w:spacing w:line="240" w:lineRule="auto"/>
        <w:ind w:left="420" w:leftChars="0"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（1）商务部分：见评标办法前附表；</w:t>
      </w:r>
    </w:p>
    <w:p>
      <w:pPr>
        <w:tabs>
          <w:tab w:val="left" w:pos="0"/>
        </w:tabs>
        <w:spacing w:line="240" w:lineRule="auto"/>
        <w:ind w:left="420" w:leftChars="0"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（2）技术部分：见评标办法前附表；</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2.2.2 评标基准价计算</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评标基准价计算方法：见评标办法前附表。</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2.2.3 评分标准</w:t>
      </w:r>
    </w:p>
    <w:p>
      <w:pPr>
        <w:tabs>
          <w:tab w:val="left" w:pos="0"/>
        </w:tabs>
        <w:spacing w:line="240" w:lineRule="auto"/>
        <w:ind w:left="420" w:leftChars="0"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（1）商务部分评分标准：见评标办法前附表；</w:t>
      </w:r>
    </w:p>
    <w:p>
      <w:pPr>
        <w:tabs>
          <w:tab w:val="left" w:pos="0"/>
        </w:tabs>
        <w:spacing w:line="240" w:lineRule="auto"/>
        <w:ind w:left="420" w:leftChars="0"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（2）技术部分评分标准：见评标办法前附表；</w:t>
      </w:r>
    </w:p>
    <w:p>
      <w:pPr>
        <w:keepNext w:val="0"/>
        <w:keepLines w:val="0"/>
        <w:pageBreakBefore w:val="0"/>
        <w:widowControl/>
        <w:tabs>
          <w:tab w:val="left" w:pos="0"/>
        </w:tabs>
        <w:kinsoku/>
        <w:wordWrap/>
        <w:overflowPunct/>
        <w:topLinePunct w:val="0"/>
        <w:autoSpaceDE/>
        <w:autoSpaceDN/>
        <w:bidi w:val="0"/>
        <w:adjustRightInd/>
        <w:snapToGrid/>
        <w:spacing w:before="157" w:beforeLines="50" w:after="157" w:afterLines="50" w:line="240" w:lineRule="auto"/>
        <w:jc w:val="left"/>
        <w:textAlignment w:val="auto"/>
        <w:rPr>
          <w:rFonts w:hint="eastAsia" w:ascii="仿宋" w:hAnsi="仿宋" w:eastAsia="仿宋" w:cs="仿宋"/>
          <w:b/>
          <w:color w:val="000000"/>
          <w:sz w:val="21"/>
          <w:szCs w:val="21"/>
          <w:highlight w:val="none"/>
        </w:rPr>
      </w:pPr>
      <w:r>
        <w:rPr>
          <w:rFonts w:hint="eastAsia" w:ascii="仿宋" w:hAnsi="仿宋" w:eastAsia="仿宋" w:cs="仿宋"/>
          <w:b/>
          <w:color w:val="000000"/>
          <w:sz w:val="21"/>
          <w:szCs w:val="21"/>
          <w:highlight w:val="none"/>
        </w:rPr>
        <w:t>3.评标程序</w:t>
      </w:r>
    </w:p>
    <w:p>
      <w:pPr>
        <w:keepNext w:val="0"/>
        <w:keepLines w:val="0"/>
        <w:pageBreakBefore w:val="0"/>
        <w:widowControl/>
        <w:tabs>
          <w:tab w:val="left" w:pos="0"/>
        </w:tabs>
        <w:kinsoku/>
        <w:wordWrap/>
        <w:overflowPunct/>
        <w:topLinePunct w:val="0"/>
        <w:autoSpaceDE/>
        <w:autoSpaceDN/>
        <w:bidi w:val="0"/>
        <w:adjustRightInd/>
        <w:snapToGrid/>
        <w:spacing w:before="157" w:beforeLines="50" w:after="157" w:afterLines="50" w:line="240" w:lineRule="auto"/>
        <w:ind w:firstLine="421" w:firstLineChars="200"/>
        <w:jc w:val="left"/>
        <w:textAlignment w:val="auto"/>
        <w:rPr>
          <w:rFonts w:hint="eastAsia"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rPr>
        <w:t>3.1初步评审</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3.1.1 评标委员会可以要求供应商提交第二章“供应商须知”规定的有关证明和证件的原件，以便核验。评标委员会依据本章第2.1款规定的标准对投标文件进行初步评审。有一项不符合评审标准的，评标委员会应当否决其投标。</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3.1.2 供应商有以下情形之一的，评标委员会应当否决其投标：</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(1)第二章“供应商须知”前附表及正文规定的任何一种投标无效、废标、否决投标的情况；</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(2)串通投标或弄虚作假或有其他违法行为的：</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(3)不按评标委员会要求澄清、说明或补正的。</w:t>
      </w:r>
    </w:p>
    <w:p>
      <w:pPr>
        <w:keepNext w:val="0"/>
        <w:keepLines w:val="0"/>
        <w:pageBreakBefore w:val="0"/>
        <w:widowControl/>
        <w:tabs>
          <w:tab w:val="left" w:pos="0"/>
        </w:tabs>
        <w:kinsoku/>
        <w:wordWrap/>
        <w:overflowPunct/>
        <w:topLinePunct w:val="0"/>
        <w:autoSpaceDE/>
        <w:autoSpaceDN/>
        <w:bidi w:val="0"/>
        <w:adjustRightInd/>
        <w:snapToGrid/>
        <w:spacing w:before="157" w:beforeLines="50" w:after="157" w:afterLines="50" w:line="240" w:lineRule="auto"/>
        <w:ind w:firstLine="421" w:firstLineChars="200"/>
        <w:jc w:val="left"/>
        <w:textAlignment w:val="auto"/>
        <w:rPr>
          <w:rFonts w:hint="eastAsia"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rPr>
        <w:t>3.2详细评审</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3.2.1 评标委员会按本章第2.2款规定的量化因素和分值进行打分，并计算出综合评估得分。</w:t>
      </w:r>
    </w:p>
    <w:p>
      <w:pPr>
        <w:tabs>
          <w:tab w:val="left" w:pos="0"/>
        </w:tabs>
        <w:spacing w:line="240" w:lineRule="auto"/>
        <w:ind w:left="420" w:leftChars="0"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（1）按本章第2.2.3（1）目规定的评审因素和分值对商务部分计算出得分A；</w:t>
      </w:r>
    </w:p>
    <w:p>
      <w:pPr>
        <w:tabs>
          <w:tab w:val="left" w:pos="0"/>
        </w:tabs>
        <w:spacing w:line="240" w:lineRule="auto"/>
        <w:ind w:left="420" w:leftChars="0"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（2）按本章第2.2.4（2）目规定的评审因素和分值对技术部分计算出得分B；</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3.2.2 评分分值计算保留小数点后两位，小数点后第三位“四舍五入”。</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3.2.3 供应商得分=A+B。</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3.2.4 评标委员会发现供应商的报价明显低于其他通过符合性审查供应商的报价，或者在设有标底时明显低于标底，使得其投标报价可能低于其个别成本的，可能影响产品质量或者不能诚信履约的，应当要求其在评标现场合理的时间内提供书面说明，必要时提交相关证明材料；供应商不能证明其报价合理性的，评标委员会应当将其作为无效投标处理。以低于成本报价竞标，其投标将被否决。</w:t>
      </w:r>
    </w:p>
    <w:p>
      <w:pPr>
        <w:tabs>
          <w:tab w:val="left" w:pos="0"/>
        </w:tabs>
        <w:spacing w:line="240" w:lineRule="auto"/>
        <w:ind w:firstLine="420" w:firstLineChars="200"/>
        <w:jc w:val="left"/>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rPr>
        <w:t>3.2.5 本次招标活动对于满足政府采购政策要求的供应商按照下列相关规定的扶持政策执行</w:t>
      </w:r>
      <w:r>
        <w:rPr>
          <w:rFonts w:hint="eastAsia" w:cs="仿宋"/>
          <w:color w:val="000000"/>
          <w:sz w:val="21"/>
          <w:szCs w:val="21"/>
          <w:highlight w:val="none"/>
          <w:lang w:val="en-US" w:eastAsia="zh-CN"/>
        </w:rPr>
        <w:t>:</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1、《政府采购促进中小企业发展管理办法》（财库﹝2020﹞46号）</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（1）在政府采购活动中，对符合本办法规定的小微企业报价给予</w:t>
      </w:r>
      <w:r>
        <w:rPr>
          <w:rFonts w:hint="eastAsia" w:ascii="仿宋" w:hAnsi="仿宋" w:eastAsia="仿宋" w:cs="仿宋"/>
          <w:color w:val="000000"/>
          <w:sz w:val="21"/>
          <w:szCs w:val="21"/>
          <w:highlight w:val="none"/>
          <w:lang w:val="en-US" w:eastAsia="zh-CN"/>
        </w:rPr>
        <w:t>10</w:t>
      </w:r>
      <w:r>
        <w:rPr>
          <w:rFonts w:hint="eastAsia" w:ascii="仿宋" w:hAnsi="仿宋" w:eastAsia="仿宋" w:cs="仿宋"/>
          <w:color w:val="000000"/>
          <w:sz w:val="21"/>
          <w:szCs w:val="21"/>
          <w:highlight w:val="none"/>
        </w:rPr>
        <w:t>%的扣除，用扣除后的价格参加评审。</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（2）接受大中型企业与小微企业组成联合体或者允许大中型企业向一家或者多家小微企业分包的采购项目，对于联合协议或者分包意向协议约定小微企业的合同份额占到合同总金额30%以上的，报价给予</w:t>
      </w:r>
      <w:r>
        <w:rPr>
          <w:rFonts w:hint="eastAsia" w:ascii="仿宋" w:hAnsi="仿宋" w:eastAsia="仿宋" w:cs="仿宋"/>
          <w:color w:val="000000"/>
          <w:sz w:val="21"/>
          <w:szCs w:val="21"/>
          <w:highlight w:val="none"/>
          <w:lang w:val="en-US" w:eastAsia="zh-CN"/>
        </w:rPr>
        <w:t>4</w:t>
      </w:r>
      <w:r>
        <w:rPr>
          <w:rFonts w:hint="eastAsia" w:ascii="仿宋" w:hAnsi="仿宋" w:eastAsia="仿宋" w:cs="仿宋"/>
          <w:color w:val="000000"/>
          <w:sz w:val="21"/>
          <w:szCs w:val="21"/>
          <w:highlight w:val="none"/>
        </w:rPr>
        <w:t>%的扣除，用扣除后的价格参加评审，组成联合体或者接受分包的小微企业与联合体内其他企业、分包企业之间存在直接控股、管理关系的，不享受价格扣除优惠政策。</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中小企业参加政府采购活动，应当出具本办法规定的《中小企业声明函（货物）》，否则不得享受相关中小企业扶持政策，本条款中（1）和（2）两种价格扣除规则不得同时适用。</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2、《财政部司法部关于政府采购支持监狱企业发展有关问题的通知》（财库〔2014〕68号）</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符合条件的监狱企业参加政府采购活动时，应当提供由省级以上监狱管理局、戒毒管理局（含新疆生产建设兵团）出具的属于监狱企业的证明文件，监狱企业视同小型、微型企业，享受第1条相同的相关扶持政策。</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3、《财政部 民政部 中国残疾人联合会关于促进残疾人就业政府采购政策的通知》（财库〔2017〕141号）</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符合条件的残疾人福利性单位在参加政府采购活动时，应当提供本通知规定的《残疾人福利性单位声明函》，残疾人福利性单位视同小型、微型企业，享受第1条相同的相关扶持政策。</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4、同时属于中小企业、监狱企业、残疾人福利性单位的，不重复享受政策。</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5、《节能产品政府采购实施意见》（财库〔2004〕185号）、《关于印发节能产品政府采购品目清单的通知》（财库〔2019〕19号）</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政府采购属于节能清单中产品时，在技术、服务等指标同等条件下，应当优先采购节能清单所列的节能产品，优先采购的评审标准：</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（1）给予投标报价得分的3％的加分，采购项目或者分包中既包含节能产品也包含非节能产品的，只对纳入《节能产品政府采购清单》的产品按其在总报价中所占的比例给予价格分加分。</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（2）对于技术评分项目，给予技术评分得分的3％的加分。</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按照财政部、发展改革委最新发布执行的《节能产品政府采购清单》的规定，《采购需求》中凡包含强制采购产品的，供应商必须提供列入《节能产品政府采购清单》的产品，否则投标无效。</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6、《关于环境标志产品政府采购实施的意见》（财库〔2006〕90号）、《关于印发环境标志产品政府采购品目清单的通知》（财库〔2019〕18号）</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采购人采购的产品属于清单中品目的，在性能、技术、服务等指标同等条件下，应当优先采购清单中的产品，优先采购的评审标准：</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（1）给予投标报价得分的3％的加分，采购项目或者分包中既包含环境标志产品也包含非环境标志产品的，只对纳入《环境标志产品政府采购清单》的产品按其在总报价中所占的比例给予价格分加分。</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（2）对于技术评分项目，给予技术评分得分的3％的加分。</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7、投标产品同时纳入《环境标志产品政府采购清单》和《节能产品政府采购清单》的，价格扣除比例不叠加。</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8、财政部关于印发《政府采购进口产品管理办法》的通知（财库[2007]119号）政府采购应当采购本国产品，确需采购进口产品（指通过中国海关报关验放进入中国境内且产自关境外的产品）的，实行审核管理的规定。</w:t>
      </w:r>
    </w:p>
    <w:p>
      <w:pPr>
        <w:keepNext w:val="0"/>
        <w:keepLines w:val="0"/>
        <w:pageBreakBefore w:val="0"/>
        <w:widowControl/>
        <w:tabs>
          <w:tab w:val="left" w:pos="0"/>
        </w:tabs>
        <w:kinsoku/>
        <w:wordWrap/>
        <w:overflowPunct/>
        <w:topLinePunct w:val="0"/>
        <w:autoSpaceDE/>
        <w:autoSpaceDN/>
        <w:bidi w:val="0"/>
        <w:adjustRightInd/>
        <w:snapToGrid/>
        <w:spacing w:before="157" w:beforeLines="50" w:after="157" w:afterLines="50" w:line="240" w:lineRule="auto"/>
        <w:ind w:firstLine="421" w:firstLineChars="200"/>
        <w:jc w:val="left"/>
        <w:textAlignment w:val="auto"/>
        <w:rPr>
          <w:rFonts w:hint="eastAsia"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rPr>
        <w:t>3.3投标文件的澄清和补正</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3.3.1 在评标过程中，评标委员会可以书面形式要求供应商对所提交投标文件中不明确的内容进行书面澄清或说明，或者对细微偏差进行补正。评标委员会不接受供应商主动提出的澄清、说明或补正。</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3.3.2 澄清、说明和补正不得改变投标文件的实质性内容(算术性错误修正的除外)。供应商的书面澄清、说明和补正属于投标文件的组成部分。</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3.3.3 评标委员会对供应商提交的澄清、说明或补正有疑问的，可以要求供应商进一步澄清、说明或补正，直至满足评标委员会的要求。</w:t>
      </w:r>
    </w:p>
    <w:p>
      <w:pPr>
        <w:keepNext w:val="0"/>
        <w:keepLines w:val="0"/>
        <w:pageBreakBefore w:val="0"/>
        <w:widowControl/>
        <w:tabs>
          <w:tab w:val="left" w:pos="0"/>
        </w:tabs>
        <w:kinsoku/>
        <w:wordWrap/>
        <w:overflowPunct/>
        <w:topLinePunct w:val="0"/>
        <w:autoSpaceDE/>
        <w:autoSpaceDN/>
        <w:bidi w:val="0"/>
        <w:adjustRightInd/>
        <w:snapToGrid/>
        <w:spacing w:before="157" w:beforeLines="50" w:after="157" w:afterLines="50" w:line="240" w:lineRule="auto"/>
        <w:ind w:firstLine="421" w:firstLineChars="200"/>
        <w:jc w:val="left"/>
        <w:textAlignment w:val="auto"/>
        <w:rPr>
          <w:rFonts w:hint="eastAsia"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rPr>
        <w:t>3.4评标结果</w:t>
      </w:r>
    </w:p>
    <w:p>
      <w:pPr>
        <w:tabs>
          <w:tab w:val="left" w:pos="0"/>
        </w:tabs>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3.4.1 除第二章“供应商须知”前附表授权直接确定中标供应商外，评标委员会按照得分由高到低的顺序推荐中标候选人，排名第一的中标候选人放弃中标、因不可抗力不能履行合同、不按照招标文件要求提交履约保证金，或者被查实存在影响中标结果的违法行为等情形，不符合中标条件的，采购人可以选择重新招标，或按照评标委员会提出的中标候选人名单排序依次确定其他中标候选人为中标供应商。</w:t>
      </w:r>
    </w:p>
    <w:p>
      <w:pPr>
        <w:spacing w:line="240" w:lineRule="auto"/>
        <w:ind w:firstLine="420" w:firstLineChars="200"/>
        <w:rPr>
          <w:rFonts w:hint="eastAsia" w:ascii="仿宋" w:hAnsi="仿宋" w:eastAsia="仿宋" w:cs="仿宋"/>
          <w:color w:val="auto"/>
          <w:sz w:val="21"/>
          <w:szCs w:val="21"/>
          <w:highlight w:val="none"/>
          <w:lang w:eastAsia="zh-CN"/>
        </w:rPr>
      </w:pPr>
      <w:r>
        <w:rPr>
          <w:rFonts w:hint="eastAsia" w:ascii="仿宋" w:hAnsi="仿宋" w:eastAsia="仿宋" w:cs="仿宋"/>
          <w:color w:val="000000"/>
          <w:sz w:val="21"/>
          <w:szCs w:val="21"/>
          <w:highlight w:val="none"/>
        </w:rPr>
        <w:t>3.4.2 评标委员会完成评标后，应当向</w:t>
      </w:r>
      <w:r>
        <w:rPr>
          <w:rFonts w:hint="eastAsia" w:ascii="仿宋" w:hAnsi="仿宋" w:eastAsia="仿宋" w:cs="仿宋"/>
          <w:color w:val="000000"/>
          <w:sz w:val="21"/>
          <w:szCs w:val="21"/>
          <w:highlight w:val="none"/>
          <w:lang w:eastAsia="zh-CN"/>
        </w:rPr>
        <w:t>采购人</w:t>
      </w:r>
      <w:r>
        <w:rPr>
          <w:rFonts w:hint="eastAsia" w:ascii="仿宋" w:hAnsi="仿宋" w:eastAsia="仿宋" w:cs="仿宋"/>
          <w:color w:val="000000"/>
          <w:sz w:val="21"/>
          <w:szCs w:val="21"/>
          <w:highlight w:val="none"/>
        </w:rPr>
        <w:t>提交书面评标报告和中标候选人名单</w:t>
      </w:r>
      <w:r>
        <w:rPr>
          <w:rFonts w:hint="eastAsia" w:cs="仿宋"/>
          <w:color w:val="000000"/>
          <w:sz w:val="21"/>
          <w:szCs w:val="21"/>
          <w:highlight w:val="none"/>
          <w:lang w:eastAsia="zh-CN"/>
        </w:rPr>
        <w:t>。</w:t>
      </w:r>
    </w:p>
    <w:p>
      <w:pPr>
        <w:rPr>
          <w:rFonts w:hint="eastAsia" w:ascii="仿宋" w:hAnsi="仿宋" w:eastAsia="仿宋" w:cs="仿宋"/>
          <w:color w:val="auto"/>
          <w:highlight w:val="none"/>
        </w:rPr>
      </w:pPr>
    </w:p>
    <w:p>
      <w:pPr>
        <w:rPr>
          <w:rFonts w:hint="eastAsia"/>
          <w:color w:val="auto"/>
          <w:highlight w:val="none"/>
          <w:lang w:val="en-US" w:eastAsia="zh-CN"/>
        </w:rPr>
      </w:pPr>
      <w:r>
        <w:rPr>
          <w:rFonts w:hint="eastAsia"/>
          <w:color w:val="auto"/>
          <w:highlight w:val="none"/>
          <w:lang w:val="en-US" w:eastAsia="zh-CN"/>
        </w:rPr>
        <w:br w:type="page"/>
      </w:r>
    </w:p>
    <w:p>
      <w:pPr>
        <w:keepNext w:val="0"/>
        <w:keepLines w:val="0"/>
        <w:pageBreakBefore w:val="0"/>
        <w:widowControl/>
        <w:kinsoku/>
        <w:wordWrap/>
        <w:overflowPunct/>
        <w:topLinePunct w:val="0"/>
        <w:autoSpaceDE/>
        <w:autoSpaceDN/>
        <w:bidi w:val="0"/>
        <w:adjustRightInd/>
        <w:snapToGrid/>
        <w:spacing w:before="136" w:beforeLines="50" w:after="136" w:afterLines="50" w:line="240" w:lineRule="auto"/>
        <w:ind w:left="0" w:leftChars="0" w:firstLine="0" w:firstLineChars="0"/>
        <w:textAlignment w:val="auto"/>
        <w:outlineLvl w:val="1"/>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附表一、初步评审表</w:t>
      </w:r>
    </w:p>
    <w:tbl>
      <w:tblPr>
        <w:tblStyle w:val="22"/>
        <w:tblW w:w="8314" w:type="dxa"/>
        <w:tblInd w:w="108" w:type="dxa"/>
        <w:tblLayout w:type="fixed"/>
        <w:tblCellMar>
          <w:top w:w="0" w:type="dxa"/>
          <w:left w:w="108" w:type="dxa"/>
          <w:bottom w:w="0" w:type="dxa"/>
          <w:right w:w="108" w:type="dxa"/>
        </w:tblCellMar>
      </w:tblPr>
      <w:tblGrid>
        <w:gridCol w:w="742"/>
        <w:gridCol w:w="824"/>
        <w:gridCol w:w="1735"/>
        <w:gridCol w:w="5013"/>
      </w:tblGrid>
      <w:tr>
        <w:tblPrEx>
          <w:tblCellMar>
            <w:top w:w="0" w:type="dxa"/>
            <w:left w:w="108" w:type="dxa"/>
            <w:bottom w:w="0" w:type="dxa"/>
            <w:right w:w="108" w:type="dxa"/>
          </w:tblCellMar>
        </w:tblPrEx>
        <w:trPr>
          <w:trHeight w:val="623" w:hRule="atLeast"/>
        </w:trPr>
        <w:tc>
          <w:tcPr>
            <w:tcW w:w="1566" w:type="dxa"/>
            <w:gridSpan w:val="2"/>
            <w:tcBorders>
              <w:top w:val="single" w:color="000000" w:sz="2" w:space="0"/>
              <w:left w:val="single" w:color="000000" w:sz="2" w:space="0"/>
              <w:bottom w:val="single" w:color="000000" w:sz="2" w:space="0"/>
              <w:right w:val="single" w:color="000000" w:sz="2" w:space="0"/>
            </w:tcBorders>
            <w:noWrap w:val="0"/>
            <w:vAlign w:val="center"/>
          </w:tcPr>
          <w:p>
            <w:pPr>
              <w:spacing w:line="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条款号</w:t>
            </w:r>
          </w:p>
        </w:tc>
        <w:tc>
          <w:tcPr>
            <w:tcW w:w="1735" w:type="dxa"/>
            <w:tcBorders>
              <w:top w:val="single" w:color="000000" w:sz="2" w:space="0"/>
              <w:left w:val="single" w:color="000000" w:sz="2" w:space="0"/>
              <w:bottom w:val="single" w:color="000000" w:sz="2" w:space="0"/>
              <w:right w:val="single" w:color="000000" w:sz="2" w:space="0"/>
            </w:tcBorders>
            <w:noWrap w:val="0"/>
            <w:vAlign w:val="center"/>
          </w:tcPr>
          <w:p>
            <w:pPr>
              <w:spacing w:line="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评审因素</w:t>
            </w:r>
          </w:p>
        </w:tc>
        <w:tc>
          <w:tcPr>
            <w:tcW w:w="5013" w:type="dxa"/>
            <w:tcBorders>
              <w:top w:val="single" w:color="000000" w:sz="2" w:space="0"/>
              <w:left w:val="single" w:color="000000" w:sz="2" w:space="0"/>
              <w:bottom w:val="single" w:color="000000" w:sz="2" w:space="0"/>
              <w:right w:val="single" w:color="000000" w:sz="2" w:space="0"/>
            </w:tcBorders>
            <w:noWrap w:val="0"/>
            <w:vAlign w:val="center"/>
          </w:tcPr>
          <w:p>
            <w:pPr>
              <w:spacing w:line="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评审标准</w:t>
            </w:r>
          </w:p>
        </w:tc>
      </w:tr>
      <w:tr>
        <w:trPr>
          <w:trHeight w:val="90" w:hRule="atLeast"/>
        </w:trPr>
        <w:tc>
          <w:tcPr>
            <w:tcW w:w="742" w:type="dxa"/>
            <w:vMerge w:val="restart"/>
            <w:tcBorders>
              <w:top w:val="single" w:color="auto" w:sz="4" w:space="0"/>
              <w:left w:val="single" w:color="auto" w:sz="4" w:space="0"/>
              <w:right w:val="single" w:color="000000" w:sz="2" w:space="0"/>
            </w:tcBorders>
            <w:noWrap w:val="0"/>
            <w:vAlign w:val="center"/>
          </w:tcPr>
          <w:p>
            <w:pPr>
              <w:spacing w:line="0" w:lineRule="atLeast"/>
              <w:jc w:val="center"/>
              <w:rPr>
                <w:rFonts w:hint="eastAsia" w:ascii="仿宋" w:hAnsi="仿宋" w:eastAsia="仿宋" w:cs="仿宋"/>
                <w:color w:val="auto"/>
                <w:sz w:val="21"/>
                <w:szCs w:val="21"/>
                <w:highlight w:val="none"/>
                <w:lang w:eastAsia="zh-CN"/>
              </w:rPr>
            </w:pPr>
            <w:r>
              <w:rPr>
                <w:rFonts w:hint="eastAsia" w:cs="仿宋"/>
                <w:color w:val="auto"/>
                <w:sz w:val="21"/>
                <w:szCs w:val="21"/>
                <w:highlight w:val="none"/>
                <w:lang w:val="en-US" w:eastAsia="zh-CN"/>
              </w:rPr>
              <w:t>1</w:t>
            </w:r>
          </w:p>
        </w:tc>
        <w:tc>
          <w:tcPr>
            <w:tcW w:w="824" w:type="dxa"/>
            <w:vMerge w:val="restart"/>
            <w:tcBorders>
              <w:top w:val="single" w:color="auto" w:sz="4" w:space="0"/>
              <w:left w:val="single" w:color="000000" w:sz="2" w:space="0"/>
              <w:right w:val="single" w:color="auto" w:sz="4" w:space="0"/>
            </w:tcBorders>
            <w:noWrap w:val="0"/>
            <w:vAlign w:val="center"/>
          </w:tcPr>
          <w:p>
            <w:pPr>
              <w:spacing w:line="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资格评审标准</w:t>
            </w:r>
          </w:p>
        </w:tc>
        <w:tc>
          <w:tcPr>
            <w:tcW w:w="173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营业执照</w:t>
            </w:r>
          </w:p>
        </w:tc>
        <w:tc>
          <w:tcPr>
            <w:tcW w:w="501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0" w:lineRule="atLeas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供应商须具有独立的、国家认可的合法经营资格，且经营范围包含本项目采购相关内容；</w:t>
            </w:r>
          </w:p>
          <w:p>
            <w:pPr>
              <w:autoSpaceDE w:val="0"/>
              <w:autoSpaceDN w:val="0"/>
              <w:adjustRightInd w:val="0"/>
              <w:spacing w:line="0" w:lineRule="atLeas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（提供证书营业执照副本复印件加盖公章</w:t>
            </w:r>
            <w:r>
              <w:rPr>
                <w:rFonts w:hint="eastAsia" w:ascii="仿宋" w:hAnsi="仿宋" w:eastAsia="仿宋" w:cs="仿宋"/>
                <w:color w:val="auto"/>
                <w:sz w:val="21"/>
                <w:szCs w:val="21"/>
                <w:highlight w:val="none"/>
              </w:rPr>
              <w:t>，且标书内附加盖公章的复印件。同时提供实体经营店面的照片）</w:t>
            </w:r>
          </w:p>
        </w:tc>
      </w:tr>
      <w:tr>
        <w:tblPrEx>
          <w:tblCellMar>
            <w:top w:w="0" w:type="dxa"/>
            <w:left w:w="108" w:type="dxa"/>
            <w:bottom w:w="0" w:type="dxa"/>
            <w:right w:w="108" w:type="dxa"/>
          </w:tblCellMar>
        </w:tblPrEx>
        <w:trPr>
          <w:trHeight w:val="1226" w:hRule="atLeast"/>
        </w:trPr>
        <w:tc>
          <w:tcPr>
            <w:tcW w:w="742" w:type="dxa"/>
            <w:vMerge w:val="continue"/>
            <w:tcBorders>
              <w:left w:val="single" w:color="auto" w:sz="4" w:space="0"/>
              <w:right w:val="single" w:color="000000" w:sz="2" w:space="0"/>
            </w:tcBorders>
            <w:noWrap w:val="0"/>
            <w:vAlign w:val="center"/>
          </w:tcPr>
          <w:p>
            <w:pPr>
              <w:spacing w:line="0" w:lineRule="atLeast"/>
              <w:jc w:val="center"/>
              <w:rPr>
                <w:rFonts w:hint="eastAsia" w:ascii="仿宋" w:hAnsi="仿宋" w:eastAsia="仿宋" w:cs="仿宋"/>
                <w:color w:val="auto"/>
                <w:sz w:val="21"/>
                <w:szCs w:val="21"/>
                <w:highlight w:val="none"/>
              </w:rPr>
            </w:pPr>
          </w:p>
        </w:tc>
        <w:tc>
          <w:tcPr>
            <w:tcW w:w="824" w:type="dxa"/>
            <w:vMerge w:val="continue"/>
            <w:tcBorders>
              <w:left w:val="single" w:color="000000" w:sz="2" w:space="0"/>
              <w:right w:val="single" w:color="auto" w:sz="4" w:space="0"/>
            </w:tcBorders>
            <w:noWrap w:val="0"/>
            <w:vAlign w:val="center"/>
          </w:tcPr>
          <w:p>
            <w:pPr>
              <w:spacing w:line="0" w:lineRule="atLeast"/>
              <w:jc w:val="left"/>
              <w:rPr>
                <w:rFonts w:hint="eastAsia" w:ascii="仿宋" w:hAnsi="仿宋" w:eastAsia="仿宋" w:cs="仿宋"/>
                <w:color w:val="auto"/>
                <w:sz w:val="21"/>
                <w:szCs w:val="21"/>
                <w:highlight w:val="none"/>
              </w:rPr>
            </w:pPr>
          </w:p>
        </w:tc>
        <w:tc>
          <w:tcPr>
            <w:tcW w:w="173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财务状况</w:t>
            </w:r>
          </w:p>
        </w:tc>
        <w:tc>
          <w:tcPr>
            <w:tcW w:w="50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zh-CN"/>
              </w:rPr>
              <w:t>近三年（</w:t>
            </w:r>
            <w:r>
              <w:rPr>
                <w:rFonts w:hint="eastAsia" w:ascii="仿宋" w:hAnsi="仿宋" w:eastAsia="仿宋" w:cs="仿宋"/>
                <w:color w:val="auto"/>
                <w:kern w:val="0"/>
                <w:sz w:val="21"/>
                <w:szCs w:val="21"/>
                <w:highlight w:val="none"/>
              </w:rPr>
              <w:t>20</w:t>
            </w:r>
            <w:r>
              <w:rPr>
                <w:rFonts w:hint="eastAsia" w:ascii="仿宋" w:hAnsi="仿宋" w:eastAsia="仿宋" w:cs="仿宋"/>
                <w:color w:val="auto"/>
                <w:kern w:val="0"/>
                <w:sz w:val="21"/>
                <w:szCs w:val="21"/>
                <w:highlight w:val="none"/>
                <w:lang w:val="en-US" w:eastAsia="zh-CN"/>
              </w:rPr>
              <w:t>2</w:t>
            </w:r>
            <w:r>
              <w:rPr>
                <w:rFonts w:hint="eastAsia"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年-20</w:t>
            </w:r>
            <w:r>
              <w:rPr>
                <w:rFonts w:hint="eastAsia" w:ascii="仿宋" w:hAnsi="仿宋" w:eastAsia="仿宋" w:cs="仿宋"/>
                <w:color w:val="auto"/>
                <w:kern w:val="0"/>
                <w:sz w:val="21"/>
                <w:szCs w:val="21"/>
                <w:highlight w:val="none"/>
                <w:lang w:val="en-US" w:eastAsia="zh-CN"/>
              </w:rPr>
              <w:t>2</w:t>
            </w:r>
            <w:r>
              <w:rPr>
                <w:rFonts w:hint="eastAsia"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年）年度财务状况良好。</w:t>
            </w:r>
          </w:p>
          <w:p>
            <w:pPr>
              <w:spacing w:line="0" w:lineRule="atLeast"/>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rPr>
              <w:t>（应出具近三年（202</w:t>
            </w:r>
            <w:r>
              <w:rPr>
                <w:rFonts w:hint="eastAsia"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年至</w:t>
            </w:r>
            <w:r>
              <w:rPr>
                <w:rFonts w:hint="eastAsia" w:cs="仿宋"/>
                <w:color w:val="auto"/>
                <w:kern w:val="0"/>
                <w:sz w:val="21"/>
                <w:szCs w:val="21"/>
                <w:highlight w:val="none"/>
                <w:lang w:val="en-US" w:eastAsia="zh-CN"/>
              </w:rPr>
              <w:t>2024年</w:t>
            </w:r>
            <w:r>
              <w:rPr>
                <w:rFonts w:hint="eastAsia" w:ascii="仿宋" w:hAnsi="仿宋" w:eastAsia="仿宋" w:cs="仿宋"/>
                <w:color w:val="auto"/>
                <w:kern w:val="0"/>
                <w:sz w:val="21"/>
                <w:szCs w:val="21"/>
                <w:highlight w:val="none"/>
              </w:rPr>
              <w:t>）经会计师事务所审计的财务</w:t>
            </w:r>
            <w:r>
              <w:rPr>
                <w:rFonts w:hint="eastAsia" w:cs="仿宋"/>
                <w:color w:val="auto"/>
                <w:kern w:val="0"/>
                <w:sz w:val="21"/>
                <w:szCs w:val="21"/>
                <w:highlight w:val="none"/>
                <w:lang w:eastAsia="zh-CN"/>
              </w:rPr>
              <w:t>审计报告或财务报表</w:t>
            </w:r>
            <w:r>
              <w:rPr>
                <w:rFonts w:hint="eastAsia" w:ascii="仿宋" w:hAnsi="仿宋" w:eastAsia="仿宋" w:cs="仿宋"/>
                <w:color w:val="auto"/>
                <w:kern w:val="0"/>
                <w:sz w:val="21"/>
                <w:szCs w:val="21"/>
                <w:highlight w:val="none"/>
              </w:rPr>
              <w:t>（投标人的成立时间少于规定年份的，应提供成立以来至202</w:t>
            </w:r>
            <w:r>
              <w:rPr>
                <w:rFonts w:hint="eastAsia"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年的财务</w:t>
            </w:r>
            <w:r>
              <w:rPr>
                <w:rFonts w:hint="eastAsia" w:cs="仿宋"/>
                <w:color w:val="auto"/>
                <w:kern w:val="0"/>
                <w:sz w:val="21"/>
                <w:szCs w:val="21"/>
                <w:highlight w:val="none"/>
                <w:lang w:eastAsia="zh-CN"/>
              </w:rPr>
              <w:t>审计报告或财务报表</w:t>
            </w:r>
            <w:r>
              <w:rPr>
                <w:rFonts w:hint="eastAsia" w:ascii="仿宋" w:hAnsi="仿宋" w:eastAsia="仿宋" w:cs="仿宋"/>
                <w:color w:val="auto"/>
                <w:kern w:val="0"/>
                <w:sz w:val="21"/>
                <w:szCs w:val="21"/>
                <w:highlight w:val="none"/>
              </w:rPr>
              <w:t>；202</w:t>
            </w:r>
            <w:r>
              <w:rPr>
                <w:rFonts w:hint="eastAsia"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年以后新成立企业需提供近三个月内银行出具的公司资信证明）</w:t>
            </w:r>
          </w:p>
        </w:tc>
      </w:tr>
      <w:tr>
        <w:trPr>
          <w:trHeight w:val="2542" w:hRule="atLeast"/>
        </w:trPr>
        <w:tc>
          <w:tcPr>
            <w:tcW w:w="742" w:type="dxa"/>
            <w:vMerge w:val="continue"/>
            <w:tcBorders>
              <w:left w:val="single" w:color="auto" w:sz="4" w:space="0"/>
              <w:right w:val="single" w:color="000000" w:sz="2" w:space="0"/>
            </w:tcBorders>
            <w:noWrap w:val="0"/>
            <w:vAlign w:val="center"/>
          </w:tcPr>
          <w:p>
            <w:pPr>
              <w:spacing w:line="0" w:lineRule="atLeast"/>
              <w:jc w:val="center"/>
              <w:rPr>
                <w:rFonts w:hint="eastAsia" w:ascii="仿宋" w:hAnsi="仿宋" w:eastAsia="仿宋" w:cs="仿宋"/>
                <w:color w:val="auto"/>
                <w:sz w:val="21"/>
                <w:szCs w:val="21"/>
                <w:highlight w:val="none"/>
              </w:rPr>
            </w:pPr>
          </w:p>
        </w:tc>
        <w:tc>
          <w:tcPr>
            <w:tcW w:w="824" w:type="dxa"/>
            <w:vMerge w:val="continue"/>
            <w:tcBorders>
              <w:left w:val="single" w:color="000000" w:sz="2" w:space="0"/>
              <w:right w:val="single" w:color="auto" w:sz="4" w:space="0"/>
            </w:tcBorders>
            <w:noWrap w:val="0"/>
            <w:vAlign w:val="center"/>
          </w:tcPr>
          <w:p>
            <w:pPr>
              <w:spacing w:line="0" w:lineRule="atLeast"/>
              <w:jc w:val="left"/>
              <w:rPr>
                <w:rFonts w:hint="eastAsia" w:ascii="仿宋" w:hAnsi="仿宋" w:eastAsia="仿宋" w:cs="仿宋"/>
                <w:color w:val="auto"/>
                <w:sz w:val="21"/>
                <w:szCs w:val="21"/>
                <w:highlight w:val="none"/>
              </w:rPr>
            </w:pPr>
          </w:p>
        </w:tc>
        <w:tc>
          <w:tcPr>
            <w:tcW w:w="173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信誉要求</w:t>
            </w:r>
          </w:p>
        </w:tc>
        <w:tc>
          <w:tcPr>
            <w:tcW w:w="501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1.拒绝列入政府不良行为记录期间的企业或个人参加投标。</w:t>
            </w:r>
          </w:p>
          <w:p>
            <w:pPr>
              <w:autoSpaceDE w:val="0"/>
              <w:autoSpaceDN w:val="0"/>
              <w:adjustRightInd w:val="0"/>
              <w:spacing w:line="24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（提供法定代表人（或授权代表）签字并加盖公章的承诺书。）</w:t>
            </w:r>
          </w:p>
          <w:p>
            <w:pPr>
              <w:autoSpaceDE w:val="0"/>
              <w:autoSpaceDN w:val="0"/>
              <w:adjustRightInd w:val="0"/>
              <w:spacing w:line="24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 供应商不能列入失信被执行人、重大税收违法案件当事人名单、政府采购严重违法失信行为记录名单</w:t>
            </w:r>
          </w:p>
          <w:p>
            <w:pPr>
              <w:autoSpaceDE w:val="0"/>
              <w:autoSpaceDN w:val="0"/>
              <w:adjustRightInd w:val="0"/>
              <w:spacing w:line="24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（提供信用中国”网站（www.creditchina.gov.cn）和中国政府采购网（www.ccgp.gov.cn）渠道查询相关信用记录的网站截图加盖公章。）</w:t>
            </w:r>
          </w:p>
          <w:p>
            <w:pPr>
              <w:autoSpaceDE w:val="0"/>
              <w:autoSpaceDN w:val="0"/>
              <w:adjustRightInd w:val="0"/>
              <w:spacing w:line="240" w:lineRule="auto"/>
              <w:jc w:val="left"/>
              <w:rPr>
                <w:rFonts w:hint="default" w:eastAsia="仿宋"/>
                <w:highlight w:val="none"/>
                <w:lang w:val="en-US" w:eastAsia="zh-CN"/>
              </w:rPr>
            </w:pPr>
            <w:r>
              <w:rPr>
                <w:rFonts w:hint="eastAsia" w:ascii="仿宋" w:hAnsi="仿宋" w:eastAsia="仿宋" w:cs="仿宋"/>
                <w:color w:val="auto"/>
                <w:sz w:val="21"/>
                <w:szCs w:val="21"/>
                <w:highlight w:val="none"/>
                <w:lang w:val="en-US" w:eastAsia="zh-CN"/>
              </w:rPr>
              <w:t>3.提供招标文件要求的其他材料</w:t>
            </w:r>
          </w:p>
        </w:tc>
      </w:tr>
      <w:tr>
        <w:tblPrEx>
          <w:tblCellMar>
            <w:top w:w="0" w:type="dxa"/>
            <w:left w:w="108" w:type="dxa"/>
            <w:bottom w:w="0" w:type="dxa"/>
            <w:right w:w="108" w:type="dxa"/>
          </w:tblCellMar>
        </w:tblPrEx>
        <w:trPr>
          <w:trHeight w:val="875" w:hRule="atLeast"/>
        </w:trPr>
        <w:tc>
          <w:tcPr>
            <w:tcW w:w="742" w:type="dxa"/>
            <w:vMerge w:val="continue"/>
            <w:tcBorders>
              <w:left w:val="single" w:color="auto" w:sz="4" w:space="0"/>
              <w:bottom w:val="single" w:color="auto" w:sz="4" w:space="0"/>
              <w:right w:val="single" w:color="000000" w:sz="2" w:space="0"/>
            </w:tcBorders>
            <w:noWrap w:val="0"/>
            <w:vAlign w:val="center"/>
          </w:tcPr>
          <w:p>
            <w:pPr>
              <w:spacing w:line="0" w:lineRule="atLeast"/>
              <w:jc w:val="center"/>
              <w:rPr>
                <w:rFonts w:hint="eastAsia" w:ascii="仿宋" w:hAnsi="仿宋" w:eastAsia="仿宋" w:cs="仿宋"/>
                <w:color w:val="auto"/>
                <w:sz w:val="21"/>
                <w:szCs w:val="21"/>
                <w:highlight w:val="none"/>
              </w:rPr>
            </w:pPr>
          </w:p>
        </w:tc>
        <w:tc>
          <w:tcPr>
            <w:tcW w:w="824" w:type="dxa"/>
            <w:vMerge w:val="continue"/>
            <w:tcBorders>
              <w:left w:val="single" w:color="000000" w:sz="2" w:space="0"/>
              <w:bottom w:val="single" w:color="auto" w:sz="4" w:space="0"/>
              <w:right w:val="single" w:color="auto" w:sz="4" w:space="0"/>
            </w:tcBorders>
            <w:noWrap w:val="0"/>
            <w:vAlign w:val="center"/>
          </w:tcPr>
          <w:p>
            <w:pPr>
              <w:spacing w:line="0" w:lineRule="atLeast"/>
              <w:jc w:val="left"/>
              <w:rPr>
                <w:rFonts w:hint="eastAsia" w:ascii="仿宋" w:hAnsi="仿宋" w:eastAsia="仿宋" w:cs="仿宋"/>
                <w:color w:val="auto"/>
                <w:sz w:val="21"/>
                <w:szCs w:val="21"/>
                <w:highlight w:val="none"/>
              </w:rPr>
            </w:pPr>
          </w:p>
        </w:tc>
        <w:tc>
          <w:tcPr>
            <w:tcW w:w="173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firstLine="0" w:firstLineChars="0"/>
              <w:jc w:val="center"/>
              <w:rPr>
                <w:rFonts w:hint="eastAsia" w:ascii="仿宋" w:hAnsi="仿宋" w:eastAsia="仿宋" w:cs="仿宋"/>
                <w:color w:val="auto"/>
                <w:sz w:val="21"/>
                <w:szCs w:val="21"/>
                <w:highlight w:val="none"/>
              </w:rPr>
            </w:pPr>
            <w:r>
              <w:rPr>
                <w:rFonts w:hint="default" w:ascii="仿宋" w:hAnsi="仿宋" w:eastAsia="仿宋" w:cs="仿宋"/>
                <w:color w:val="auto"/>
                <w:sz w:val="21"/>
                <w:szCs w:val="21"/>
                <w:highlight w:val="none"/>
                <w:lang w:val="en-US" w:eastAsia="zh-CN"/>
              </w:rPr>
              <w:t>联合体投标人</w:t>
            </w:r>
          </w:p>
        </w:tc>
        <w:tc>
          <w:tcPr>
            <w:tcW w:w="50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firstLine="0" w:firstLineChars="0"/>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提交联合体协议书，并明确联合体牵头人</w:t>
            </w:r>
          </w:p>
        </w:tc>
      </w:tr>
      <w:tr>
        <w:trPr>
          <w:trHeight w:val="444" w:hRule="atLeast"/>
        </w:trPr>
        <w:tc>
          <w:tcPr>
            <w:tcW w:w="742" w:type="dxa"/>
            <w:vMerge w:val="restart"/>
            <w:tcBorders>
              <w:top w:val="single" w:color="auto" w:sz="4" w:space="0"/>
              <w:left w:val="single" w:color="000000" w:sz="2" w:space="0"/>
              <w:right w:val="single" w:color="000000" w:sz="2" w:space="0"/>
            </w:tcBorders>
            <w:noWrap w:val="0"/>
            <w:vAlign w:val="center"/>
          </w:tcPr>
          <w:p>
            <w:pPr>
              <w:spacing w:line="0" w:lineRule="atLeast"/>
              <w:jc w:val="center"/>
              <w:rPr>
                <w:rFonts w:hint="eastAsia" w:ascii="仿宋" w:hAnsi="仿宋" w:eastAsia="仿宋" w:cs="仿宋"/>
                <w:color w:val="auto"/>
                <w:sz w:val="21"/>
                <w:szCs w:val="21"/>
                <w:highlight w:val="none"/>
                <w:lang w:eastAsia="zh-CN"/>
              </w:rPr>
            </w:pPr>
            <w:r>
              <w:rPr>
                <w:rFonts w:hint="eastAsia" w:cs="仿宋"/>
                <w:color w:val="auto"/>
                <w:sz w:val="21"/>
                <w:szCs w:val="21"/>
                <w:highlight w:val="none"/>
                <w:lang w:val="en-US" w:eastAsia="zh-CN"/>
              </w:rPr>
              <w:t>2</w:t>
            </w:r>
          </w:p>
        </w:tc>
        <w:tc>
          <w:tcPr>
            <w:tcW w:w="824" w:type="dxa"/>
            <w:vMerge w:val="restart"/>
            <w:tcBorders>
              <w:top w:val="single" w:color="auto" w:sz="4" w:space="0"/>
              <w:left w:val="single" w:color="000000" w:sz="2" w:space="0"/>
              <w:right w:val="single" w:color="auto" w:sz="4" w:space="0"/>
            </w:tcBorders>
            <w:noWrap w:val="0"/>
            <w:vAlign w:val="center"/>
          </w:tcPr>
          <w:p>
            <w:pPr>
              <w:spacing w:line="0" w:lineRule="atLeast"/>
              <w:jc w:val="center"/>
              <w:rPr>
                <w:rFonts w:hint="eastAsia" w:cs="仿宋"/>
                <w:color w:val="auto"/>
                <w:sz w:val="21"/>
                <w:szCs w:val="21"/>
                <w:highlight w:val="none"/>
                <w:lang w:val="en-US" w:eastAsia="zh-CN"/>
              </w:rPr>
            </w:pPr>
            <w:r>
              <w:rPr>
                <w:rFonts w:hint="eastAsia" w:cs="仿宋"/>
                <w:color w:val="auto"/>
                <w:sz w:val="21"/>
                <w:szCs w:val="21"/>
                <w:highlight w:val="none"/>
                <w:lang w:val="en-US" w:eastAsia="zh-CN"/>
              </w:rPr>
              <w:t>符</w:t>
            </w:r>
          </w:p>
          <w:p>
            <w:pPr>
              <w:spacing w:line="0" w:lineRule="atLeast"/>
              <w:jc w:val="center"/>
              <w:rPr>
                <w:rFonts w:hint="eastAsia" w:cs="仿宋"/>
                <w:color w:val="auto"/>
                <w:sz w:val="21"/>
                <w:szCs w:val="21"/>
                <w:highlight w:val="none"/>
                <w:lang w:val="en-US" w:eastAsia="zh-CN"/>
              </w:rPr>
            </w:pPr>
            <w:r>
              <w:rPr>
                <w:rFonts w:hint="eastAsia" w:cs="仿宋"/>
                <w:color w:val="auto"/>
                <w:sz w:val="21"/>
                <w:szCs w:val="21"/>
                <w:highlight w:val="none"/>
                <w:lang w:val="en-US" w:eastAsia="zh-CN"/>
              </w:rPr>
              <w:t>合</w:t>
            </w:r>
          </w:p>
          <w:p>
            <w:pPr>
              <w:spacing w:line="0" w:lineRule="atLeast"/>
              <w:jc w:val="center"/>
              <w:rPr>
                <w:rFonts w:hint="eastAsia" w:cs="仿宋"/>
                <w:color w:val="auto"/>
                <w:sz w:val="21"/>
                <w:szCs w:val="21"/>
                <w:highlight w:val="none"/>
                <w:lang w:val="en-US" w:eastAsia="zh-CN"/>
              </w:rPr>
            </w:pPr>
            <w:r>
              <w:rPr>
                <w:rFonts w:hint="eastAsia" w:cs="仿宋"/>
                <w:color w:val="auto"/>
                <w:sz w:val="21"/>
                <w:szCs w:val="21"/>
                <w:highlight w:val="none"/>
                <w:lang w:val="en-US" w:eastAsia="zh-CN"/>
              </w:rPr>
              <w:t>性</w:t>
            </w:r>
          </w:p>
          <w:p>
            <w:pPr>
              <w:spacing w:line="0" w:lineRule="atLeast"/>
              <w:jc w:val="center"/>
              <w:rPr>
                <w:rFonts w:hint="eastAsia" w:cs="仿宋"/>
                <w:color w:val="auto"/>
                <w:sz w:val="21"/>
                <w:szCs w:val="21"/>
                <w:highlight w:val="none"/>
                <w:lang w:val="en-US" w:eastAsia="zh-CN"/>
              </w:rPr>
            </w:pPr>
            <w:r>
              <w:rPr>
                <w:rFonts w:hint="eastAsia" w:cs="仿宋"/>
                <w:color w:val="auto"/>
                <w:sz w:val="21"/>
                <w:szCs w:val="21"/>
                <w:highlight w:val="none"/>
                <w:lang w:val="en-US" w:eastAsia="zh-CN"/>
              </w:rPr>
              <w:t>评</w:t>
            </w:r>
          </w:p>
          <w:p>
            <w:pPr>
              <w:spacing w:line="0" w:lineRule="atLeast"/>
              <w:jc w:val="center"/>
              <w:rPr>
                <w:rFonts w:hint="default" w:ascii="仿宋" w:hAnsi="仿宋" w:eastAsia="仿宋" w:cs="仿宋"/>
                <w:color w:val="auto"/>
                <w:sz w:val="21"/>
                <w:szCs w:val="21"/>
                <w:highlight w:val="none"/>
                <w:lang w:val="en-US" w:eastAsia="zh-CN"/>
              </w:rPr>
            </w:pPr>
            <w:r>
              <w:rPr>
                <w:rFonts w:hint="eastAsia" w:cs="仿宋"/>
                <w:color w:val="auto"/>
                <w:sz w:val="21"/>
                <w:szCs w:val="21"/>
                <w:highlight w:val="none"/>
                <w:lang w:val="en-US" w:eastAsia="zh-CN"/>
              </w:rPr>
              <w:t>审</w:t>
            </w:r>
          </w:p>
        </w:tc>
        <w:tc>
          <w:tcPr>
            <w:tcW w:w="1735" w:type="dxa"/>
            <w:tcBorders>
              <w:top w:val="single" w:color="auto" w:sz="4" w:space="0"/>
              <w:left w:val="single" w:color="auto" w:sz="4" w:space="0"/>
              <w:right w:val="single" w:color="auto" w:sz="4" w:space="0"/>
            </w:tcBorders>
            <w:noWrap w:val="0"/>
            <w:vAlign w:val="center"/>
          </w:tcPr>
          <w:p>
            <w:pPr>
              <w:spacing w:line="0" w:lineRule="atLeast"/>
              <w:ind w:firstLine="0" w:firstLineChars="0"/>
              <w:jc w:val="center"/>
              <w:rPr>
                <w:rFonts w:hint="eastAsia" w:cs="仿宋"/>
                <w:color w:val="auto"/>
                <w:sz w:val="21"/>
                <w:szCs w:val="21"/>
                <w:highlight w:val="none"/>
                <w:lang w:val="en-US" w:eastAsia="zh-CN"/>
              </w:rPr>
            </w:pPr>
            <w:r>
              <w:rPr>
                <w:rFonts w:hint="eastAsia" w:ascii="仿宋" w:hAnsi="仿宋" w:eastAsia="仿宋" w:cs="仿宋"/>
                <w:color w:val="auto"/>
                <w:sz w:val="21"/>
                <w:szCs w:val="21"/>
                <w:highlight w:val="none"/>
              </w:rPr>
              <w:t>供应商名称</w:t>
            </w:r>
          </w:p>
        </w:tc>
        <w:tc>
          <w:tcPr>
            <w:tcW w:w="50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firstLine="0" w:firstLineChars="0"/>
              <w:jc w:val="left"/>
              <w:rPr>
                <w:rFonts w:hint="eastAsia" w:cs="仿宋"/>
                <w:color w:val="auto"/>
                <w:sz w:val="21"/>
                <w:szCs w:val="21"/>
                <w:highlight w:val="none"/>
                <w:lang w:val="en-US" w:eastAsia="zh-CN"/>
              </w:rPr>
            </w:pPr>
            <w:r>
              <w:rPr>
                <w:rFonts w:hint="eastAsia" w:ascii="仿宋" w:hAnsi="仿宋" w:eastAsia="仿宋" w:cs="仿宋"/>
                <w:color w:val="auto"/>
                <w:sz w:val="21"/>
                <w:szCs w:val="21"/>
                <w:highlight w:val="none"/>
              </w:rPr>
              <w:t xml:space="preserve">与营业执照一致。 </w:t>
            </w:r>
          </w:p>
        </w:tc>
      </w:tr>
      <w:tr>
        <w:tblPrEx>
          <w:tblCellMar>
            <w:top w:w="0" w:type="dxa"/>
            <w:left w:w="108" w:type="dxa"/>
            <w:bottom w:w="0" w:type="dxa"/>
            <w:right w:w="108" w:type="dxa"/>
          </w:tblCellMar>
        </w:tblPrEx>
        <w:trPr>
          <w:trHeight w:val="642" w:hRule="atLeast"/>
        </w:trPr>
        <w:tc>
          <w:tcPr>
            <w:tcW w:w="742" w:type="dxa"/>
            <w:vMerge w:val="continue"/>
            <w:tcBorders>
              <w:left w:val="single" w:color="000000" w:sz="2" w:space="0"/>
              <w:right w:val="single" w:color="000000" w:sz="2" w:space="0"/>
            </w:tcBorders>
            <w:noWrap w:val="0"/>
            <w:vAlign w:val="center"/>
          </w:tcPr>
          <w:p>
            <w:pPr>
              <w:spacing w:line="0" w:lineRule="atLeast"/>
              <w:jc w:val="left"/>
              <w:rPr>
                <w:rFonts w:hint="eastAsia" w:ascii="仿宋" w:hAnsi="仿宋" w:eastAsia="仿宋" w:cs="仿宋"/>
                <w:color w:val="auto"/>
                <w:sz w:val="21"/>
                <w:szCs w:val="21"/>
                <w:highlight w:val="none"/>
              </w:rPr>
            </w:pPr>
          </w:p>
        </w:tc>
        <w:tc>
          <w:tcPr>
            <w:tcW w:w="824" w:type="dxa"/>
            <w:vMerge w:val="continue"/>
            <w:tcBorders>
              <w:left w:val="single" w:color="000000" w:sz="2" w:space="0"/>
              <w:right w:val="single" w:color="auto" w:sz="4" w:space="0"/>
            </w:tcBorders>
            <w:noWrap w:val="0"/>
            <w:vAlign w:val="center"/>
          </w:tcPr>
          <w:p>
            <w:pPr>
              <w:spacing w:line="0" w:lineRule="atLeast"/>
              <w:jc w:val="center"/>
              <w:rPr>
                <w:rFonts w:hint="eastAsia" w:cs="仿宋"/>
                <w:color w:val="auto"/>
                <w:sz w:val="21"/>
                <w:szCs w:val="21"/>
                <w:highlight w:val="none"/>
                <w:lang w:val="en-US" w:eastAsia="zh-CN"/>
              </w:rPr>
            </w:pPr>
          </w:p>
        </w:tc>
        <w:tc>
          <w:tcPr>
            <w:tcW w:w="173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firstLine="0" w:firstLineChars="0"/>
              <w:jc w:val="center"/>
              <w:rPr>
                <w:rFonts w:hint="eastAsia" w:cs="仿宋"/>
                <w:color w:val="auto"/>
                <w:sz w:val="21"/>
                <w:szCs w:val="21"/>
                <w:highlight w:val="none"/>
                <w:lang w:val="en-US" w:eastAsia="zh-CN"/>
              </w:rPr>
            </w:pPr>
            <w:r>
              <w:rPr>
                <w:rFonts w:hint="eastAsia" w:ascii="仿宋" w:hAnsi="仿宋" w:eastAsia="仿宋" w:cs="仿宋"/>
                <w:color w:val="auto"/>
                <w:sz w:val="21"/>
                <w:szCs w:val="21"/>
                <w:highlight w:val="none"/>
              </w:rPr>
              <w:t>投标函签字盖章</w:t>
            </w:r>
          </w:p>
        </w:tc>
        <w:tc>
          <w:tcPr>
            <w:tcW w:w="50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firstLine="0" w:firstLineChars="0"/>
              <w:jc w:val="left"/>
              <w:rPr>
                <w:rFonts w:hint="eastAsia" w:cs="仿宋"/>
                <w:color w:val="auto"/>
                <w:sz w:val="21"/>
                <w:szCs w:val="21"/>
                <w:highlight w:val="none"/>
                <w:lang w:val="en-US" w:eastAsia="zh-CN"/>
              </w:rPr>
            </w:pPr>
            <w:r>
              <w:rPr>
                <w:rFonts w:hint="eastAsia" w:ascii="仿宋" w:hAnsi="仿宋" w:eastAsia="仿宋" w:cs="仿宋"/>
                <w:color w:val="auto"/>
                <w:sz w:val="21"/>
                <w:szCs w:val="21"/>
                <w:highlight w:val="none"/>
              </w:rPr>
              <w:t>有法定代表人或其委托代理人签字并加盖单位章。</w:t>
            </w:r>
          </w:p>
        </w:tc>
      </w:tr>
      <w:tr>
        <w:trPr>
          <w:trHeight w:val="294" w:hRule="atLeast"/>
        </w:trPr>
        <w:tc>
          <w:tcPr>
            <w:tcW w:w="742" w:type="dxa"/>
            <w:vMerge w:val="continue"/>
            <w:tcBorders>
              <w:left w:val="single" w:color="000000" w:sz="2" w:space="0"/>
              <w:right w:val="single" w:color="000000" w:sz="2" w:space="0"/>
            </w:tcBorders>
            <w:noWrap w:val="0"/>
            <w:vAlign w:val="center"/>
          </w:tcPr>
          <w:p>
            <w:pPr>
              <w:spacing w:line="0" w:lineRule="atLeast"/>
              <w:jc w:val="left"/>
              <w:rPr>
                <w:rFonts w:hint="eastAsia" w:ascii="仿宋" w:hAnsi="仿宋" w:eastAsia="仿宋" w:cs="仿宋"/>
                <w:color w:val="auto"/>
                <w:sz w:val="21"/>
                <w:szCs w:val="21"/>
                <w:highlight w:val="none"/>
              </w:rPr>
            </w:pPr>
          </w:p>
        </w:tc>
        <w:tc>
          <w:tcPr>
            <w:tcW w:w="824" w:type="dxa"/>
            <w:vMerge w:val="continue"/>
            <w:tcBorders>
              <w:left w:val="single" w:color="000000" w:sz="2" w:space="0"/>
              <w:right w:val="single" w:color="auto" w:sz="4" w:space="0"/>
            </w:tcBorders>
            <w:noWrap w:val="0"/>
            <w:vAlign w:val="center"/>
          </w:tcPr>
          <w:p>
            <w:pPr>
              <w:spacing w:line="0" w:lineRule="atLeast"/>
              <w:jc w:val="center"/>
              <w:rPr>
                <w:rFonts w:hint="eastAsia" w:cs="仿宋"/>
                <w:color w:val="auto"/>
                <w:sz w:val="21"/>
                <w:szCs w:val="21"/>
                <w:highlight w:val="none"/>
                <w:lang w:val="en-US" w:eastAsia="zh-CN"/>
              </w:rPr>
            </w:pPr>
          </w:p>
        </w:tc>
        <w:tc>
          <w:tcPr>
            <w:tcW w:w="173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firstLine="0" w:firstLineChars="0"/>
              <w:jc w:val="center"/>
              <w:rPr>
                <w:rFonts w:hint="eastAsia" w:cs="仿宋"/>
                <w:color w:val="auto"/>
                <w:sz w:val="21"/>
                <w:szCs w:val="21"/>
                <w:highlight w:val="none"/>
                <w:lang w:val="en-US" w:eastAsia="zh-CN"/>
              </w:rPr>
            </w:pPr>
            <w:r>
              <w:rPr>
                <w:rFonts w:hint="eastAsia" w:ascii="仿宋" w:hAnsi="仿宋" w:eastAsia="仿宋" w:cs="仿宋"/>
                <w:color w:val="auto"/>
                <w:sz w:val="21"/>
                <w:szCs w:val="21"/>
                <w:highlight w:val="none"/>
                <w:lang w:eastAsia="zh-CN"/>
              </w:rPr>
              <w:t>投标报价</w:t>
            </w:r>
          </w:p>
        </w:tc>
        <w:tc>
          <w:tcPr>
            <w:tcW w:w="5013"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hint="eastAsia" w:cs="仿宋"/>
                <w:color w:val="auto"/>
                <w:sz w:val="21"/>
                <w:szCs w:val="21"/>
                <w:highlight w:val="none"/>
                <w:lang w:val="en-US" w:eastAsia="zh-CN"/>
              </w:rPr>
            </w:pPr>
            <w:r>
              <w:rPr>
                <w:rFonts w:hint="eastAsia" w:ascii="仿宋" w:hAnsi="仿宋" w:eastAsia="仿宋" w:cs="仿宋"/>
                <w:color w:val="auto"/>
                <w:sz w:val="21"/>
                <w:szCs w:val="21"/>
                <w:highlight w:val="none"/>
              </w:rPr>
              <w:t>只能有一个有效报价。</w:t>
            </w:r>
            <w:r>
              <w:rPr>
                <w:rFonts w:hint="eastAsia" w:ascii="仿宋" w:hAnsi="仿宋" w:eastAsia="仿宋" w:cs="仿宋"/>
                <w:color w:val="auto"/>
                <w:sz w:val="21"/>
                <w:szCs w:val="21"/>
                <w:highlight w:val="none"/>
                <w:lang w:val="en-US" w:eastAsia="zh-CN"/>
              </w:rPr>
              <w:t>不超过采购预算，超过采购预算的投标报价，其投标将被否决</w:t>
            </w:r>
            <w:r>
              <w:rPr>
                <w:rFonts w:hint="eastAsia" w:cs="仿宋"/>
                <w:color w:val="auto"/>
                <w:sz w:val="21"/>
                <w:szCs w:val="21"/>
                <w:highlight w:val="none"/>
                <w:lang w:val="en-US" w:eastAsia="zh-CN"/>
              </w:rPr>
              <w:t>（预算金额：400万元）</w:t>
            </w:r>
          </w:p>
        </w:tc>
      </w:tr>
      <w:tr>
        <w:tblPrEx>
          <w:tblCellMar>
            <w:top w:w="0" w:type="dxa"/>
            <w:left w:w="108" w:type="dxa"/>
            <w:bottom w:w="0" w:type="dxa"/>
            <w:right w:w="108" w:type="dxa"/>
          </w:tblCellMar>
        </w:tblPrEx>
        <w:trPr>
          <w:trHeight w:val="90" w:hRule="atLeast"/>
        </w:trPr>
        <w:tc>
          <w:tcPr>
            <w:tcW w:w="742" w:type="dxa"/>
            <w:vMerge w:val="continue"/>
            <w:tcBorders>
              <w:left w:val="single" w:color="000000" w:sz="2" w:space="0"/>
              <w:right w:val="single" w:color="000000" w:sz="2" w:space="0"/>
            </w:tcBorders>
            <w:noWrap w:val="0"/>
            <w:vAlign w:val="center"/>
          </w:tcPr>
          <w:p>
            <w:pPr>
              <w:spacing w:line="0" w:lineRule="atLeast"/>
              <w:jc w:val="left"/>
              <w:rPr>
                <w:rFonts w:hint="eastAsia" w:ascii="仿宋" w:hAnsi="仿宋" w:eastAsia="仿宋" w:cs="仿宋"/>
                <w:color w:val="auto"/>
                <w:sz w:val="21"/>
                <w:szCs w:val="21"/>
                <w:highlight w:val="none"/>
              </w:rPr>
            </w:pPr>
          </w:p>
        </w:tc>
        <w:tc>
          <w:tcPr>
            <w:tcW w:w="824" w:type="dxa"/>
            <w:vMerge w:val="continue"/>
            <w:tcBorders>
              <w:left w:val="single" w:color="000000" w:sz="2" w:space="0"/>
              <w:right w:val="single" w:color="auto" w:sz="4" w:space="0"/>
            </w:tcBorders>
            <w:noWrap w:val="0"/>
            <w:vAlign w:val="center"/>
          </w:tcPr>
          <w:p>
            <w:pPr>
              <w:spacing w:line="0" w:lineRule="atLeast"/>
              <w:jc w:val="center"/>
              <w:rPr>
                <w:rFonts w:hint="eastAsia" w:cs="仿宋"/>
                <w:color w:val="auto"/>
                <w:sz w:val="21"/>
                <w:szCs w:val="21"/>
                <w:highlight w:val="none"/>
                <w:lang w:val="en-US" w:eastAsia="zh-CN"/>
              </w:rPr>
            </w:pPr>
          </w:p>
        </w:tc>
        <w:tc>
          <w:tcPr>
            <w:tcW w:w="173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firstLine="0" w:firstLineChars="0"/>
              <w:jc w:val="center"/>
              <w:rPr>
                <w:rFonts w:hint="eastAsia" w:cs="仿宋"/>
                <w:color w:val="auto"/>
                <w:sz w:val="21"/>
                <w:szCs w:val="21"/>
                <w:highlight w:val="none"/>
                <w:lang w:val="en-US" w:eastAsia="zh-CN"/>
              </w:rPr>
            </w:pPr>
            <w:r>
              <w:rPr>
                <w:rFonts w:hint="eastAsia" w:cs="仿宋"/>
                <w:color w:val="auto"/>
                <w:sz w:val="21"/>
                <w:szCs w:val="21"/>
                <w:highlight w:val="none"/>
                <w:lang w:val="en-US" w:eastAsia="zh-CN"/>
              </w:rPr>
              <w:t>服务期</w:t>
            </w:r>
          </w:p>
        </w:tc>
        <w:tc>
          <w:tcPr>
            <w:tcW w:w="5013"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left"/>
              <w:rPr>
                <w:rFonts w:hint="default" w:cs="仿宋"/>
                <w:color w:val="auto"/>
                <w:sz w:val="21"/>
                <w:szCs w:val="21"/>
                <w:highlight w:val="none"/>
                <w:lang w:val="en-US" w:eastAsia="zh-CN"/>
              </w:rPr>
            </w:pPr>
            <w:r>
              <w:rPr>
                <w:rFonts w:hint="eastAsia" w:cs="仿宋"/>
                <w:color w:val="auto"/>
                <w:sz w:val="21"/>
                <w:szCs w:val="21"/>
                <w:highlight w:val="none"/>
                <w:lang w:val="en-US" w:eastAsia="zh-CN"/>
              </w:rPr>
              <w:t>签订合同之日起至2026年12月31日</w:t>
            </w:r>
          </w:p>
        </w:tc>
      </w:tr>
      <w:tr>
        <w:trPr>
          <w:trHeight w:val="105" w:hRule="atLeast"/>
        </w:trPr>
        <w:tc>
          <w:tcPr>
            <w:tcW w:w="742" w:type="dxa"/>
            <w:vMerge w:val="continue"/>
            <w:tcBorders>
              <w:left w:val="single" w:color="000000" w:sz="2" w:space="0"/>
              <w:right w:val="single" w:color="000000" w:sz="2" w:space="0"/>
            </w:tcBorders>
            <w:noWrap w:val="0"/>
            <w:vAlign w:val="center"/>
          </w:tcPr>
          <w:p>
            <w:pPr>
              <w:spacing w:line="0" w:lineRule="atLeast"/>
              <w:jc w:val="left"/>
              <w:rPr>
                <w:rFonts w:hint="eastAsia" w:ascii="仿宋" w:hAnsi="仿宋" w:eastAsia="仿宋" w:cs="仿宋"/>
                <w:color w:val="auto"/>
                <w:sz w:val="21"/>
                <w:szCs w:val="21"/>
                <w:highlight w:val="none"/>
              </w:rPr>
            </w:pPr>
          </w:p>
        </w:tc>
        <w:tc>
          <w:tcPr>
            <w:tcW w:w="824" w:type="dxa"/>
            <w:vMerge w:val="continue"/>
            <w:tcBorders>
              <w:left w:val="single" w:color="000000" w:sz="2" w:space="0"/>
              <w:right w:val="single" w:color="auto" w:sz="4" w:space="0"/>
            </w:tcBorders>
            <w:noWrap w:val="0"/>
            <w:vAlign w:val="center"/>
          </w:tcPr>
          <w:p>
            <w:pPr>
              <w:spacing w:line="0" w:lineRule="atLeast"/>
              <w:jc w:val="left"/>
              <w:rPr>
                <w:rFonts w:hint="eastAsia" w:ascii="仿宋" w:hAnsi="仿宋" w:eastAsia="仿宋" w:cs="仿宋"/>
                <w:color w:val="auto"/>
                <w:sz w:val="21"/>
                <w:szCs w:val="21"/>
                <w:highlight w:val="none"/>
              </w:rPr>
            </w:pPr>
          </w:p>
        </w:tc>
        <w:tc>
          <w:tcPr>
            <w:tcW w:w="173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质量标准</w:t>
            </w:r>
          </w:p>
        </w:tc>
        <w:tc>
          <w:tcPr>
            <w:tcW w:w="501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仿宋" w:hAnsi="仿宋" w:eastAsia="仿宋" w:cs="仿宋"/>
                <w:color w:val="auto"/>
                <w:sz w:val="21"/>
                <w:szCs w:val="21"/>
                <w:highlight w:val="none"/>
                <w:lang w:eastAsia="zh-CN"/>
              </w:rPr>
            </w:pPr>
            <w:r>
              <w:rPr>
                <w:rFonts w:hint="eastAsia" w:cs="仿宋"/>
                <w:color w:val="auto"/>
                <w:sz w:val="21"/>
                <w:szCs w:val="21"/>
                <w:highlight w:val="none"/>
                <w:lang w:eastAsia="zh-CN"/>
              </w:rPr>
              <w:t>符合国家、行业现行相关标准及采购人合理要求的合格服务</w:t>
            </w:r>
          </w:p>
        </w:tc>
      </w:tr>
      <w:tr>
        <w:tblPrEx>
          <w:tblCellMar>
            <w:top w:w="0" w:type="dxa"/>
            <w:left w:w="108" w:type="dxa"/>
            <w:bottom w:w="0" w:type="dxa"/>
            <w:right w:w="108" w:type="dxa"/>
          </w:tblCellMar>
        </w:tblPrEx>
        <w:trPr>
          <w:trHeight w:val="90" w:hRule="atLeast"/>
        </w:trPr>
        <w:tc>
          <w:tcPr>
            <w:tcW w:w="742" w:type="dxa"/>
            <w:vMerge w:val="continue"/>
            <w:tcBorders>
              <w:left w:val="single" w:color="000000" w:sz="2" w:space="0"/>
              <w:right w:val="single" w:color="000000" w:sz="2" w:space="0"/>
            </w:tcBorders>
            <w:noWrap w:val="0"/>
            <w:vAlign w:val="center"/>
          </w:tcPr>
          <w:p>
            <w:pPr>
              <w:spacing w:line="0" w:lineRule="atLeast"/>
              <w:jc w:val="left"/>
              <w:rPr>
                <w:rFonts w:hint="eastAsia" w:ascii="仿宋" w:hAnsi="仿宋" w:eastAsia="仿宋" w:cs="仿宋"/>
                <w:color w:val="auto"/>
                <w:sz w:val="21"/>
                <w:szCs w:val="21"/>
                <w:highlight w:val="none"/>
              </w:rPr>
            </w:pPr>
          </w:p>
        </w:tc>
        <w:tc>
          <w:tcPr>
            <w:tcW w:w="824" w:type="dxa"/>
            <w:vMerge w:val="continue"/>
            <w:tcBorders>
              <w:left w:val="single" w:color="000000" w:sz="2" w:space="0"/>
              <w:right w:val="single" w:color="auto" w:sz="4" w:space="0"/>
            </w:tcBorders>
            <w:noWrap w:val="0"/>
            <w:vAlign w:val="center"/>
          </w:tcPr>
          <w:p>
            <w:pPr>
              <w:spacing w:line="0" w:lineRule="atLeast"/>
              <w:jc w:val="left"/>
              <w:rPr>
                <w:rFonts w:hint="eastAsia" w:ascii="仿宋" w:hAnsi="仿宋" w:eastAsia="仿宋" w:cs="仿宋"/>
                <w:color w:val="auto"/>
                <w:sz w:val="21"/>
                <w:szCs w:val="21"/>
                <w:highlight w:val="none"/>
              </w:rPr>
            </w:pPr>
          </w:p>
        </w:tc>
        <w:tc>
          <w:tcPr>
            <w:tcW w:w="173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投标有效期</w:t>
            </w:r>
          </w:p>
        </w:tc>
        <w:tc>
          <w:tcPr>
            <w:tcW w:w="501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90天</w:t>
            </w:r>
          </w:p>
        </w:tc>
      </w:tr>
      <w:tr>
        <w:trPr>
          <w:trHeight w:val="253" w:hRule="atLeast"/>
        </w:trPr>
        <w:tc>
          <w:tcPr>
            <w:tcW w:w="742" w:type="dxa"/>
            <w:vMerge w:val="continue"/>
            <w:tcBorders>
              <w:left w:val="single" w:color="000000" w:sz="2" w:space="0"/>
              <w:right w:val="single" w:color="000000" w:sz="2" w:space="0"/>
            </w:tcBorders>
            <w:noWrap w:val="0"/>
            <w:vAlign w:val="center"/>
          </w:tcPr>
          <w:p>
            <w:pPr>
              <w:spacing w:line="0" w:lineRule="atLeast"/>
              <w:jc w:val="left"/>
              <w:rPr>
                <w:rFonts w:hint="eastAsia" w:ascii="仿宋" w:hAnsi="仿宋" w:eastAsia="仿宋" w:cs="仿宋"/>
                <w:color w:val="auto"/>
                <w:sz w:val="21"/>
                <w:szCs w:val="21"/>
                <w:highlight w:val="none"/>
              </w:rPr>
            </w:pPr>
          </w:p>
        </w:tc>
        <w:tc>
          <w:tcPr>
            <w:tcW w:w="824" w:type="dxa"/>
            <w:vMerge w:val="continue"/>
            <w:tcBorders>
              <w:left w:val="single" w:color="000000" w:sz="2" w:space="0"/>
              <w:right w:val="single" w:color="auto" w:sz="4" w:space="0"/>
            </w:tcBorders>
            <w:noWrap w:val="0"/>
            <w:vAlign w:val="center"/>
          </w:tcPr>
          <w:p>
            <w:pPr>
              <w:spacing w:line="0" w:lineRule="atLeast"/>
              <w:jc w:val="left"/>
              <w:rPr>
                <w:rFonts w:hint="eastAsia" w:ascii="仿宋" w:hAnsi="仿宋" w:eastAsia="仿宋" w:cs="仿宋"/>
                <w:color w:val="auto"/>
                <w:sz w:val="21"/>
                <w:szCs w:val="21"/>
                <w:highlight w:val="none"/>
              </w:rPr>
            </w:pPr>
          </w:p>
        </w:tc>
        <w:tc>
          <w:tcPr>
            <w:tcW w:w="173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投标保证金</w:t>
            </w:r>
          </w:p>
        </w:tc>
        <w:tc>
          <w:tcPr>
            <w:tcW w:w="501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有缴纳投标保证金凭证原件加盖公章，基本账户开户许可证复印件加盖公章【要求件清晰可见】 </w:t>
            </w:r>
          </w:p>
        </w:tc>
      </w:tr>
      <w:tr>
        <w:tblPrEx>
          <w:tblCellMar>
            <w:top w:w="0" w:type="dxa"/>
            <w:left w:w="108" w:type="dxa"/>
            <w:bottom w:w="0" w:type="dxa"/>
            <w:right w:w="108" w:type="dxa"/>
          </w:tblCellMar>
        </w:tblPrEx>
        <w:trPr>
          <w:trHeight w:val="454" w:hRule="atLeast"/>
        </w:trPr>
        <w:tc>
          <w:tcPr>
            <w:tcW w:w="742" w:type="dxa"/>
            <w:vMerge w:val="continue"/>
            <w:tcBorders>
              <w:left w:val="single" w:color="000000" w:sz="2" w:space="0"/>
              <w:bottom w:val="single" w:color="auto" w:sz="4" w:space="0"/>
              <w:right w:val="single" w:color="000000" w:sz="2" w:space="0"/>
            </w:tcBorders>
            <w:noWrap w:val="0"/>
            <w:vAlign w:val="center"/>
          </w:tcPr>
          <w:p>
            <w:pPr>
              <w:spacing w:line="0" w:lineRule="atLeast"/>
              <w:jc w:val="left"/>
              <w:rPr>
                <w:rFonts w:hint="eastAsia" w:ascii="仿宋" w:hAnsi="仿宋" w:eastAsia="仿宋" w:cs="仿宋"/>
                <w:color w:val="auto"/>
                <w:sz w:val="21"/>
                <w:szCs w:val="21"/>
                <w:highlight w:val="none"/>
              </w:rPr>
            </w:pPr>
          </w:p>
        </w:tc>
        <w:tc>
          <w:tcPr>
            <w:tcW w:w="824" w:type="dxa"/>
            <w:vMerge w:val="continue"/>
            <w:tcBorders>
              <w:left w:val="single" w:color="000000" w:sz="2" w:space="0"/>
              <w:bottom w:val="single" w:color="auto" w:sz="4" w:space="0"/>
              <w:right w:val="single" w:color="auto" w:sz="4" w:space="0"/>
            </w:tcBorders>
            <w:noWrap w:val="0"/>
            <w:vAlign w:val="center"/>
          </w:tcPr>
          <w:p>
            <w:pPr>
              <w:spacing w:line="0" w:lineRule="atLeast"/>
              <w:jc w:val="left"/>
              <w:rPr>
                <w:rFonts w:hint="eastAsia" w:ascii="仿宋" w:hAnsi="仿宋" w:eastAsia="仿宋" w:cs="仿宋"/>
                <w:color w:val="auto"/>
                <w:sz w:val="21"/>
                <w:szCs w:val="21"/>
                <w:highlight w:val="none"/>
              </w:rPr>
            </w:pPr>
          </w:p>
        </w:tc>
        <w:tc>
          <w:tcPr>
            <w:tcW w:w="1735" w:type="dxa"/>
            <w:tcBorders>
              <w:top w:val="single" w:color="auto" w:sz="4" w:space="0"/>
              <w:left w:val="single" w:color="000000" w:sz="2" w:space="0"/>
              <w:bottom w:val="single" w:color="000000" w:sz="2" w:space="0"/>
              <w:right w:val="single" w:color="000000" w:sz="2" w:space="0"/>
            </w:tcBorders>
            <w:noWrap w:val="0"/>
            <w:vAlign w:val="center"/>
          </w:tcPr>
          <w:p>
            <w:pPr>
              <w:spacing w:line="0" w:lineRule="atLeast"/>
              <w:ind w:firstLine="0" w:firstLineChars="0"/>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其他要求</w:t>
            </w:r>
          </w:p>
        </w:tc>
        <w:tc>
          <w:tcPr>
            <w:tcW w:w="5013" w:type="dxa"/>
            <w:tcBorders>
              <w:top w:val="single" w:color="auto" w:sz="4" w:space="0"/>
              <w:left w:val="single" w:color="000000" w:sz="2" w:space="0"/>
              <w:bottom w:val="single" w:color="000000" w:sz="2" w:space="0"/>
              <w:right w:val="single" w:color="000000" w:sz="2" w:space="0"/>
            </w:tcBorders>
            <w:noWrap w:val="0"/>
            <w:vAlign w:val="center"/>
          </w:tcPr>
          <w:p>
            <w:pPr>
              <w:spacing w:line="240" w:lineRule="auto"/>
              <w:ind w:firstLine="0" w:firstLineChars="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1"/>
                <w:szCs w:val="21"/>
                <w:highlight w:val="none"/>
              </w:rPr>
              <w:t>与采购人存在利害关系可能影响招标公正性的法人、其他组织或者个人，不得参加本项目投标。</w:t>
            </w:r>
          </w:p>
        </w:tc>
      </w:tr>
    </w:tbl>
    <w:p>
      <w:pP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br w:type="page"/>
      </w:r>
    </w:p>
    <w:p>
      <w:pPr>
        <w:keepNext w:val="0"/>
        <w:keepLines w:val="0"/>
        <w:pageBreakBefore w:val="0"/>
        <w:widowControl/>
        <w:kinsoku/>
        <w:wordWrap/>
        <w:overflowPunct/>
        <w:topLinePunct w:val="0"/>
        <w:autoSpaceDE/>
        <w:autoSpaceDN/>
        <w:bidi w:val="0"/>
        <w:adjustRightInd/>
        <w:snapToGrid/>
        <w:spacing w:before="136" w:beforeLines="50" w:after="136" w:afterLines="50" w:line="240" w:lineRule="auto"/>
        <w:ind w:left="0" w:leftChars="0" w:firstLine="0" w:firstLineChars="0"/>
        <w:textAlignment w:val="auto"/>
        <w:outlineLvl w:val="1"/>
        <w:rPr>
          <w:rFonts w:hint="eastAsia" w:cs="仿宋"/>
          <w:b/>
          <w:bCs/>
          <w:sz w:val="24"/>
          <w:szCs w:val="24"/>
          <w:highlight w:val="none"/>
          <w:lang w:val="en-US" w:eastAsia="zh-CN"/>
        </w:rPr>
      </w:pPr>
      <w:r>
        <w:rPr>
          <w:rFonts w:hint="eastAsia" w:ascii="仿宋" w:hAnsi="仿宋" w:eastAsia="仿宋" w:cs="仿宋"/>
          <w:b/>
          <w:bCs/>
          <w:sz w:val="24"/>
          <w:szCs w:val="24"/>
          <w:highlight w:val="none"/>
          <w:lang w:val="en-US" w:eastAsia="zh-CN"/>
        </w:rPr>
        <w:t>附表</w:t>
      </w:r>
      <w:r>
        <w:rPr>
          <w:rFonts w:hint="eastAsia" w:cs="仿宋"/>
          <w:b/>
          <w:bCs/>
          <w:sz w:val="24"/>
          <w:szCs w:val="24"/>
          <w:highlight w:val="none"/>
          <w:lang w:val="en-US" w:eastAsia="zh-CN"/>
        </w:rPr>
        <w:t>二</w:t>
      </w:r>
      <w:r>
        <w:rPr>
          <w:rFonts w:hint="eastAsia" w:ascii="仿宋" w:hAnsi="仿宋" w:eastAsia="仿宋" w:cs="仿宋"/>
          <w:b/>
          <w:bCs/>
          <w:sz w:val="24"/>
          <w:szCs w:val="24"/>
          <w:highlight w:val="none"/>
          <w:lang w:val="en-US" w:eastAsia="zh-CN"/>
        </w:rPr>
        <w:t>、</w:t>
      </w:r>
      <w:r>
        <w:rPr>
          <w:rFonts w:hint="eastAsia" w:cs="仿宋"/>
          <w:b/>
          <w:bCs/>
          <w:sz w:val="24"/>
          <w:szCs w:val="24"/>
          <w:highlight w:val="none"/>
          <w:lang w:val="en-US" w:eastAsia="zh-CN"/>
        </w:rPr>
        <w:t>详细评审表</w:t>
      </w:r>
    </w:p>
    <w:tbl>
      <w:tblPr>
        <w:tblStyle w:val="22"/>
        <w:tblW w:w="84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
        <w:gridCol w:w="944"/>
        <w:gridCol w:w="1211"/>
        <w:gridCol w:w="5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353" w:type="dxa"/>
            <w:gridSpan w:val="2"/>
            <w:noWrap w:val="0"/>
            <w:vAlign w:val="center"/>
          </w:tcPr>
          <w:p>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lang w:val="zh-CN"/>
              </w:rPr>
              <w:t>评审内容</w:t>
            </w:r>
          </w:p>
        </w:tc>
        <w:tc>
          <w:tcPr>
            <w:tcW w:w="1211" w:type="dxa"/>
            <w:noWrap w:val="0"/>
            <w:vAlign w:val="center"/>
          </w:tcPr>
          <w:p>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评审因素</w:t>
            </w:r>
          </w:p>
        </w:tc>
        <w:tc>
          <w:tcPr>
            <w:tcW w:w="5864" w:type="dxa"/>
            <w:noWrap w:val="0"/>
            <w:vAlign w:val="center"/>
          </w:tcPr>
          <w:p>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409" w:type="dxa"/>
            <w:noWrap w:val="0"/>
            <w:vAlign w:val="center"/>
          </w:tcPr>
          <w:p>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944" w:type="dxa"/>
            <w:noWrap w:val="0"/>
            <w:vAlign w:val="center"/>
          </w:tcPr>
          <w:p>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价格部分</w:t>
            </w:r>
          </w:p>
          <w:p>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0分）</w:t>
            </w:r>
          </w:p>
        </w:tc>
        <w:tc>
          <w:tcPr>
            <w:tcW w:w="1211" w:type="dxa"/>
            <w:noWrap w:val="0"/>
            <w:vAlign w:val="center"/>
          </w:tcPr>
          <w:p>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投标报价</w:t>
            </w:r>
          </w:p>
          <w:p>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0分)</w:t>
            </w:r>
          </w:p>
        </w:tc>
        <w:tc>
          <w:tcPr>
            <w:tcW w:w="5864" w:type="dxa"/>
            <w:noWrap w:val="0"/>
            <w:vAlign w:val="center"/>
          </w:tcPr>
          <w:p>
            <w:pPr>
              <w:snapToGrid w:val="0"/>
              <w:spacing w:line="240" w:lineRule="auto"/>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本次评标基准价以按照</w:t>
            </w:r>
            <w:r>
              <w:rPr>
                <w:rFonts w:hint="eastAsia" w:ascii="仿宋" w:hAnsi="仿宋" w:eastAsia="仿宋" w:cs="仿宋"/>
                <w:color w:val="auto"/>
                <w:sz w:val="21"/>
                <w:szCs w:val="21"/>
                <w:highlight w:val="none"/>
                <w:lang w:eastAsia="zh-CN"/>
              </w:rPr>
              <w:t>招标</w:t>
            </w:r>
            <w:r>
              <w:rPr>
                <w:rFonts w:hint="eastAsia" w:ascii="仿宋" w:hAnsi="仿宋" w:eastAsia="仿宋" w:cs="仿宋"/>
                <w:color w:val="auto"/>
                <w:sz w:val="21"/>
                <w:szCs w:val="21"/>
                <w:highlight w:val="none"/>
              </w:rPr>
              <w:t>文件的规定修正后的所有合格投标人的评标价的最低价格作为评标基准价。评标价等于评标基准价的得满分，其他投标人的价格分按下面的公式计算：投标报价得分＝基础分值×(最低投标价/有效投标报价)，四舍五入后保留2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409" w:type="dxa"/>
            <w:vMerge w:val="restart"/>
            <w:noWrap w:val="0"/>
            <w:vAlign w:val="center"/>
          </w:tcPr>
          <w:p>
            <w:pPr>
              <w:spacing w:line="240" w:lineRule="auto"/>
              <w:jc w:val="center"/>
              <w:rPr>
                <w:rFonts w:hint="eastAsia" w:ascii="仿宋" w:hAnsi="仿宋" w:eastAsia="仿宋" w:cs="仿宋"/>
                <w:color w:val="auto"/>
                <w:sz w:val="21"/>
                <w:szCs w:val="21"/>
                <w:highlight w:val="none"/>
                <w:lang w:val="en-US" w:eastAsia="zh-CN"/>
              </w:rPr>
            </w:pPr>
            <w:r>
              <w:rPr>
                <w:rFonts w:hint="eastAsia" w:cs="仿宋"/>
                <w:color w:val="auto"/>
                <w:sz w:val="21"/>
                <w:szCs w:val="21"/>
                <w:highlight w:val="none"/>
                <w:lang w:val="en-US" w:eastAsia="zh-CN"/>
              </w:rPr>
              <w:t>2</w:t>
            </w:r>
          </w:p>
        </w:tc>
        <w:tc>
          <w:tcPr>
            <w:tcW w:w="944" w:type="dxa"/>
            <w:vMerge w:val="restart"/>
            <w:noWrap w:val="0"/>
            <w:vAlign w:val="center"/>
          </w:tcPr>
          <w:p>
            <w:pPr>
              <w:spacing w:line="240" w:lineRule="auto"/>
              <w:jc w:val="center"/>
              <w:rPr>
                <w:rFonts w:hint="eastAsia" w:cs="仿宋"/>
                <w:color w:val="auto"/>
                <w:sz w:val="21"/>
                <w:szCs w:val="21"/>
                <w:highlight w:val="none"/>
                <w:lang w:val="en-US" w:eastAsia="zh-CN"/>
              </w:rPr>
            </w:pPr>
            <w:r>
              <w:rPr>
                <w:rFonts w:hint="eastAsia" w:cs="仿宋"/>
                <w:color w:val="auto"/>
                <w:sz w:val="21"/>
                <w:szCs w:val="21"/>
                <w:highlight w:val="none"/>
                <w:lang w:val="en-US" w:eastAsia="zh-CN"/>
              </w:rPr>
              <w:t>商务部分</w:t>
            </w:r>
          </w:p>
          <w:p>
            <w:pPr>
              <w:spacing w:line="240" w:lineRule="auto"/>
              <w:jc w:val="center"/>
              <w:rPr>
                <w:rFonts w:hint="eastAsia" w:cs="仿宋"/>
                <w:color w:val="auto"/>
                <w:sz w:val="21"/>
                <w:szCs w:val="21"/>
                <w:highlight w:val="none"/>
                <w:lang w:val="en-US" w:eastAsia="zh-CN"/>
              </w:rPr>
            </w:pPr>
            <w:r>
              <w:rPr>
                <w:rFonts w:hint="eastAsia" w:cs="仿宋"/>
                <w:color w:val="auto"/>
                <w:sz w:val="21"/>
                <w:szCs w:val="21"/>
                <w:highlight w:val="none"/>
                <w:lang w:val="en-US" w:eastAsia="zh-CN"/>
              </w:rPr>
              <w:t>（30分）</w:t>
            </w:r>
          </w:p>
        </w:tc>
        <w:tc>
          <w:tcPr>
            <w:tcW w:w="1211" w:type="dxa"/>
            <w:vMerge w:val="restart"/>
            <w:shd w:val="clear" w:color="auto" w:fill="auto"/>
            <w:noWrap w:val="0"/>
            <w:vAlign w:val="center"/>
          </w:tcPr>
          <w:p>
            <w:pPr>
              <w:snapToGrid w:val="0"/>
              <w:spacing w:line="240" w:lineRule="auto"/>
              <w:jc w:val="center"/>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企业服务能力</w:t>
            </w:r>
          </w:p>
          <w:p>
            <w:pPr>
              <w:snapToGrid w:val="0"/>
              <w:spacing w:line="240" w:lineRule="auto"/>
              <w:jc w:val="center"/>
              <w:textAlignment w:val="baseline"/>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w:t>
            </w:r>
            <w:r>
              <w:rPr>
                <w:rFonts w:hint="eastAsia" w:cs="仿宋"/>
                <w:color w:val="auto"/>
                <w:sz w:val="21"/>
                <w:szCs w:val="21"/>
                <w:highlight w:val="none"/>
                <w:lang w:val="en-US" w:eastAsia="zh-CN"/>
              </w:rPr>
              <w:t>10</w:t>
            </w:r>
            <w:r>
              <w:rPr>
                <w:rFonts w:hint="eastAsia" w:ascii="仿宋" w:hAnsi="仿宋" w:eastAsia="仿宋" w:cs="仿宋"/>
                <w:color w:val="auto"/>
                <w:sz w:val="21"/>
                <w:szCs w:val="21"/>
                <w:highlight w:val="none"/>
              </w:rPr>
              <w:t>分）</w:t>
            </w:r>
          </w:p>
        </w:tc>
        <w:tc>
          <w:tcPr>
            <w:tcW w:w="5864" w:type="dxa"/>
            <w:shd w:val="clear" w:color="auto" w:fill="auto"/>
            <w:noWrap w:val="0"/>
            <w:vAlign w:val="center"/>
          </w:tcPr>
          <w:p>
            <w:pPr>
              <w:snapToGrid w:val="0"/>
              <w:spacing w:line="240" w:lineRule="auto"/>
              <w:jc w:val="both"/>
              <w:textAlignment w:val="baseline"/>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1、投标人获得国家工业和信息化部授予“国家中小企业公共服务示范平台”称号的，得2分。（需提供工业和信息化部中小企业发展促进中心查询截图）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409" w:type="dxa"/>
            <w:vMerge w:val="continue"/>
            <w:noWrap w:val="0"/>
            <w:vAlign w:val="center"/>
          </w:tcPr>
          <w:p>
            <w:pPr>
              <w:spacing w:line="240" w:lineRule="auto"/>
              <w:jc w:val="center"/>
              <w:rPr>
                <w:rFonts w:hint="eastAsia" w:ascii="仿宋" w:hAnsi="仿宋" w:eastAsia="仿宋" w:cs="仿宋"/>
                <w:color w:val="auto"/>
                <w:sz w:val="21"/>
                <w:szCs w:val="21"/>
                <w:highlight w:val="none"/>
              </w:rPr>
            </w:pPr>
          </w:p>
        </w:tc>
        <w:tc>
          <w:tcPr>
            <w:tcW w:w="944" w:type="dxa"/>
            <w:vMerge w:val="continue"/>
            <w:noWrap w:val="0"/>
            <w:vAlign w:val="center"/>
          </w:tcPr>
          <w:p>
            <w:pPr>
              <w:spacing w:line="240" w:lineRule="auto"/>
              <w:jc w:val="center"/>
              <w:rPr>
                <w:rFonts w:hint="eastAsia" w:ascii="仿宋" w:hAnsi="仿宋" w:eastAsia="仿宋" w:cs="仿宋"/>
                <w:color w:val="auto"/>
                <w:sz w:val="21"/>
                <w:szCs w:val="21"/>
                <w:highlight w:val="none"/>
              </w:rPr>
            </w:pPr>
          </w:p>
        </w:tc>
        <w:tc>
          <w:tcPr>
            <w:tcW w:w="1211" w:type="dxa"/>
            <w:vMerge w:val="continue"/>
            <w:noWrap w:val="0"/>
            <w:vAlign w:val="center"/>
          </w:tcPr>
          <w:p>
            <w:pPr>
              <w:snapToGrid w:val="0"/>
              <w:spacing w:line="240" w:lineRule="auto"/>
              <w:jc w:val="center"/>
              <w:textAlignment w:val="baseline"/>
              <w:rPr>
                <w:rFonts w:hint="eastAsia" w:ascii="仿宋" w:hAnsi="仿宋" w:eastAsia="仿宋" w:cs="仿宋"/>
                <w:color w:val="auto"/>
                <w:sz w:val="21"/>
                <w:szCs w:val="21"/>
                <w:highlight w:val="none"/>
              </w:rPr>
            </w:pPr>
          </w:p>
        </w:tc>
        <w:tc>
          <w:tcPr>
            <w:tcW w:w="5864" w:type="dxa"/>
            <w:shd w:val="clear" w:color="auto" w:fill="auto"/>
            <w:noWrap w:val="0"/>
            <w:vAlign w:val="center"/>
          </w:tcPr>
          <w:p>
            <w:pPr>
              <w:snapToGrid w:val="0"/>
              <w:spacing w:line="240" w:lineRule="auto"/>
              <w:jc w:val="both"/>
              <w:textAlignment w:val="baseline"/>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2、投标人具有中国工程咨询协会颁发的电子类、信息工程类的工程咨询单位甲级资信证书的，得2分。（需提供证书复印件或扫描件）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409" w:type="dxa"/>
            <w:vMerge w:val="continue"/>
            <w:noWrap w:val="0"/>
            <w:vAlign w:val="center"/>
          </w:tcPr>
          <w:p>
            <w:pPr>
              <w:spacing w:line="240" w:lineRule="auto"/>
              <w:jc w:val="center"/>
              <w:rPr>
                <w:rFonts w:hint="eastAsia" w:ascii="仿宋" w:hAnsi="仿宋" w:eastAsia="仿宋" w:cs="仿宋"/>
                <w:color w:val="auto"/>
                <w:sz w:val="21"/>
                <w:szCs w:val="21"/>
                <w:highlight w:val="none"/>
              </w:rPr>
            </w:pPr>
          </w:p>
        </w:tc>
        <w:tc>
          <w:tcPr>
            <w:tcW w:w="944" w:type="dxa"/>
            <w:vMerge w:val="continue"/>
            <w:noWrap w:val="0"/>
            <w:vAlign w:val="center"/>
          </w:tcPr>
          <w:p>
            <w:pPr>
              <w:spacing w:line="240" w:lineRule="auto"/>
              <w:jc w:val="center"/>
              <w:rPr>
                <w:rFonts w:hint="eastAsia" w:ascii="仿宋" w:hAnsi="仿宋" w:eastAsia="仿宋" w:cs="仿宋"/>
                <w:color w:val="auto"/>
                <w:sz w:val="21"/>
                <w:szCs w:val="21"/>
                <w:highlight w:val="none"/>
              </w:rPr>
            </w:pPr>
          </w:p>
        </w:tc>
        <w:tc>
          <w:tcPr>
            <w:tcW w:w="1211" w:type="dxa"/>
            <w:vMerge w:val="continue"/>
            <w:noWrap w:val="0"/>
            <w:vAlign w:val="center"/>
          </w:tcPr>
          <w:p>
            <w:pPr>
              <w:snapToGrid w:val="0"/>
              <w:spacing w:line="240" w:lineRule="auto"/>
              <w:jc w:val="center"/>
              <w:textAlignment w:val="baseline"/>
              <w:rPr>
                <w:rFonts w:hint="eastAsia" w:ascii="仿宋" w:hAnsi="仿宋" w:eastAsia="仿宋" w:cs="仿宋"/>
                <w:color w:val="auto"/>
                <w:sz w:val="21"/>
                <w:szCs w:val="21"/>
                <w:highlight w:val="none"/>
              </w:rPr>
            </w:pPr>
          </w:p>
        </w:tc>
        <w:tc>
          <w:tcPr>
            <w:tcW w:w="5864" w:type="dxa"/>
            <w:shd w:val="clear" w:color="auto" w:fill="auto"/>
            <w:noWrap w:val="0"/>
            <w:vAlign w:val="center"/>
          </w:tcPr>
          <w:p>
            <w:pPr>
              <w:snapToGrid w:val="0"/>
              <w:spacing w:line="240" w:lineRule="auto"/>
              <w:jc w:val="both"/>
              <w:textAlignment w:val="baseline"/>
              <w:rPr>
                <w:rFonts w:hint="eastAsia" w:ascii="仿宋" w:hAnsi="仿宋" w:eastAsia="仿宋" w:cs="仿宋"/>
                <w:color w:val="auto"/>
                <w:sz w:val="21"/>
                <w:szCs w:val="21"/>
                <w:highlight w:val="none"/>
                <w:lang w:val="en-US" w:eastAsia="zh-CN"/>
              </w:rPr>
            </w:pPr>
            <w:r>
              <w:rPr>
                <w:rFonts w:hint="eastAsia" w:cs="仿宋"/>
                <w:color w:val="auto"/>
                <w:sz w:val="21"/>
                <w:szCs w:val="21"/>
                <w:highlight w:val="none"/>
                <w:lang w:val="en-US" w:eastAsia="zh-CN"/>
              </w:rPr>
              <w:t>3</w:t>
            </w:r>
            <w:r>
              <w:rPr>
                <w:rFonts w:hint="eastAsia" w:ascii="仿宋" w:hAnsi="仿宋" w:eastAsia="仿宋" w:cs="仿宋"/>
                <w:color w:val="auto"/>
                <w:sz w:val="21"/>
                <w:szCs w:val="21"/>
                <w:highlight w:val="none"/>
              </w:rPr>
              <w:t>、投标人具有国家认证认可监督管理委员会官方网站可查证的信息技术服务管理体系认证证书的，得2分。（需提供证书复印件或扫描件，以及国家市场监督管理总局官方网站查询截图）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409" w:type="dxa"/>
            <w:vMerge w:val="continue"/>
            <w:noWrap w:val="0"/>
            <w:vAlign w:val="center"/>
          </w:tcPr>
          <w:p>
            <w:pPr>
              <w:spacing w:line="240" w:lineRule="auto"/>
              <w:jc w:val="center"/>
              <w:rPr>
                <w:rFonts w:hint="eastAsia" w:ascii="仿宋" w:hAnsi="仿宋" w:eastAsia="仿宋" w:cs="仿宋"/>
                <w:color w:val="auto"/>
                <w:sz w:val="21"/>
                <w:szCs w:val="21"/>
                <w:highlight w:val="none"/>
              </w:rPr>
            </w:pPr>
          </w:p>
        </w:tc>
        <w:tc>
          <w:tcPr>
            <w:tcW w:w="944" w:type="dxa"/>
            <w:vMerge w:val="continue"/>
            <w:noWrap w:val="0"/>
            <w:vAlign w:val="center"/>
          </w:tcPr>
          <w:p>
            <w:pPr>
              <w:spacing w:line="240" w:lineRule="auto"/>
              <w:jc w:val="center"/>
              <w:rPr>
                <w:rFonts w:hint="eastAsia" w:ascii="仿宋" w:hAnsi="仿宋" w:eastAsia="仿宋" w:cs="仿宋"/>
                <w:color w:val="auto"/>
                <w:sz w:val="21"/>
                <w:szCs w:val="21"/>
                <w:highlight w:val="none"/>
              </w:rPr>
            </w:pPr>
          </w:p>
        </w:tc>
        <w:tc>
          <w:tcPr>
            <w:tcW w:w="1211" w:type="dxa"/>
            <w:vMerge w:val="continue"/>
            <w:noWrap w:val="0"/>
            <w:vAlign w:val="center"/>
          </w:tcPr>
          <w:p>
            <w:pPr>
              <w:snapToGrid w:val="0"/>
              <w:spacing w:line="240" w:lineRule="auto"/>
              <w:jc w:val="center"/>
              <w:textAlignment w:val="baseline"/>
              <w:rPr>
                <w:rFonts w:hint="eastAsia" w:ascii="仿宋" w:hAnsi="仿宋" w:eastAsia="仿宋" w:cs="仿宋"/>
                <w:color w:val="auto"/>
                <w:sz w:val="21"/>
                <w:szCs w:val="21"/>
                <w:highlight w:val="none"/>
              </w:rPr>
            </w:pPr>
          </w:p>
        </w:tc>
        <w:tc>
          <w:tcPr>
            <w:tcW w:w="5864" w:type="dxa"/>
            <w:shd w:val="clear" w:color="auto" w:fill="auto"/>
            <w:noWrap w:val="0"/>
            <w:vAlign w:val="center"/>
          </w:tcPr>
          <w:p>
            <w:pPr>
              <w:snapToGrid w:val="0"/>
              <w:spacing w:line="240" w:lineRule="auto"/>
              <w:jc w:val="both"/>
              <w:textAlignment w:val="baseline"/>
              <w:rPr>
                <w:rFonts w:hint="eastAsia" w:ascii="仿宋" w:hAnsi="仿宋" w:eastAsia="仿宋" w:cs="仿宋"/>
                <w:color w:val="auto"/>
                <w:sz w:val="21"/>
                <w:szCs w:val="21"/>
                <w:highlight w:val="none"/>
                <w:lang w:val="en-US" w:eastAsia="zh-CN"/>
              </w:rPr>
            </w:pPr>
            <w:r>
              <w:rPr>
                <w:rFonts w:hint="eastAsia" w:cs="仿宋"/>
                <w:color w:val="auto"/>
                <w:sz w:val="21"/>
                <w:szCs w:val="21"/>
                <w:highlight w:val="none"/>
                <w:lang w:val="en-US" w:eastAsia="zh-CN"/>
              </w:rPr>
              <w:t>4</w:t>
            </w:r>
            <w:r>
              <w:rPr>
                <w:rFonts w:hint="eastAsia" w:ascii="仿宋" w:hAnsi="仿宋" w:eastAsia="仿宋" w:cs="仿宋"/>
                <w:color w:val="auto"/>
                <w:sz w:val="21"/>
                <w:szCs w:val="21"/>
                <w:highlight w:val="none"/>
              </w:rPr>
              <w:t>、投标人通过CMMI Institute官网可查询的，三级（含）以上软件能力成熟度模型（CMMI）认证的，得</w:t>
            </w:r>
            <w:r>
              <w:rPr>
                <w:rFonts w:hint="eastAsia" w:cs="仿宋"/>
                <w:color w:val="auto"/>
                <w:sz w:val="21"/>
                <w:szCs w:val="21"/>
                <w:highlight w:val="none"/>
                <w:lang w:val="en-US" w:eastAsia="zh-CN"/>
              </w:rPr>
              <w:t>2</w:t>
            </w:r>
            <w:r>
              <w:rPr>
                <w:rFonts w:hint="eastAsia" w:ascii="仿宋" w:hAnsi="仿宋" w:eastAsia="仿宋" w:cs="仿宋"/>
                <w:color w:val="auto"/>
                <w:sz w:val="21"/>
                <w:szCs w:val="21"/>
                <w:highlight w:val="none"/>
              </w:rPr>
              <w:t>分。（需提供证书复印件或扫描件，以及官方网站查询截图）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409" w:type="dxa"/>
            <w:vMerge w:val="continue"/>
            <w:noWrap w:val="0"/>
            <w:vAlign w:val="center"/>
          </w:tcPr>
          <w:p>
            <w:pPr>
              <w:spacing w:line="240" w:lineRule="auto"/>
              <w:jc w:val="center"/>
              <w:rPr>
                <w:rFonts w:hint="eastAsia" w:ascii="仿宋" w:hAnsi="仿宋" w:eastAsia="仿宋" w:cs="仿宋"/>
                <w:color w:val="auto"/>
                <w:sz w:val="21"/>
                <w:szCs w:val="21"/>
                <w:highlight w:val="none"/>
              </w:rPr>
            </w:pPr>
          </w:p>
        </w:tc>
        <w:tc>
          <w:tcPr>
            <w:tcW w:w="944" w:type="dxa"/>
            <w:vMerge w:val="continue"/>
            <w:noWrap w:val="0"/>
            <w:vAlign w:val="center"/>
          </w:tcPr>
          <w:p>
            <w:pPr>
              <w:spacing w:line="240" w:lineRule="auto"/>
              <w:jc w:val="center"/>
              <w:rPr>
                <w:rFonts w:hint="eastAsia" w:ascii="仿宋" w:hAnsi="仿宋" w:eastAsia="仿宋" w:cs="仿宋"/>
                <w:color w:val="auto"/>
                <w:sz w:val="21"/>
                <w:szCs w:val="21"/>
                <w:highlight w:val="none"/>
              </w:rPr>
            </w:pPr>
          </w:p>
        </w:tc>
        <w:tc>
          <w:tcPr>
            <w:tcW w:w="1211" w:type="dxa"/>
            <w:vMerge w:val="continue"/>
            <w:noWrap w:val="0"/>
            <w:vAlign w:val="center"/>
          </w:tcPr>
          <w:p>
            <w:pPr>
              <w:snapToGrid w:val="0"/>
              <w:spacing w:line="240" w:lineRule="auto"/>
              <w:jc w:val="center"/>
              <w:textAlignment w:val="baseline"/>
              <w:rPr>
                <w:rFonts w:hint="eastAsia" w:ascii="仿宋" w:hAnsi="仿宋" w:eastAsia="仿宋" w:cs="仿宋"/>
                <w:color w:val="auto"/>
                <w:sz w:val="21"/>
                <w:szCs w:val="21"/>
                <w:highlight w:val="none"/>
              </w:rPr>
            </w:pPr>
          </w:p>
        </w:tc>
        <w:tc>
          <w:tcPr>
            <w:tcW w:w="5864" w:type="dxa"/>
            <w:shd w:val="clear" w:color="auto" w:fill="auto"/>
            <w:noWrap w:val="0"/>
            <w:vAlign w:val="center"/>
          </w:tcPr>
          <w:p>
            <w:pPr>
              <w:snapToGrid w:val="0"/>
              <w:spacing w:line="240" w:lineRule="auto"/>
              <w:jc w:val="both"/>
              <w:textAlignment w:val="baseline"/>
              <w:rPr>
                <w:rFonts w:hint="eastAsia" w:ascii="仿宋" w:hAnsi="仿宋" w:eastAsia="仿宋" w:cs="仿宋"/>
                <w:color w:val="auto"/>
                <w:sz w:val="21"/>
                <w:szCs w:val="21"/>
                <w:highlight w:val="none"/>
                <w:lang w:val="en-US" w:eastAsia="zh-CN"/>
              </w:rPr>
            </w:pPr>
            <w:r>
              <w:rPr>
                <w:rFonts w:hint="eastAsia" w:cs="仿宋"/>
                <w:color w:val="auto"/>
                <w:sz w:val="21"/>
                <w:szCs w:val="21"/>
                <w:highlight w:val="none"/>
                <w:lang w:val="en-US" w:eastAsia="zh-CN"/>
              </w:rPr>
              <w:t>5</w:t>
            </w:r>
            <w:r>
              <w:rPr>
                <w:rFonts w:hint="eastAsia" w:ascii="仿宋" w:hAnsi="仿宋" w:eastAsia="仿宋" w:cs="仿宋"/>
                <w:color w:val="auto"/>
                <w:sz w:val="21"/>
                <w:szCs w:val="21"/>
                <w:highlight w:val="none"/>
              </w:rPr>
              <w:t>、投标人具有中国电子工业标准化技术协会信息技术服务分会颁发的信息技术服务标准（ITSS）评估机构资质的，</w:t>
            </w:r>
            <w:r>
              <w:rPr>
                <w:rFonts w:hint="eastAsia" w:cs="仿宋"/>
                <w:color w:val="auto"/>
                <w:sz w:val="21"/>
                <w:szCs w:val="21"/>
                <w:highlight w:val="none"/>
                <w:lang w:val="en-US" w:eastAsia="zh-CN"/>
              </w:rPr>
              <w:t>2</w:t>
            </w:r>
            <w:r>
              <w:rPr>
                <w:rFonts w:hint="eastAsia" w:ascii="仿宋" w:hAnsi="仿宋" w:eastAsia="仿宋" w:cs="仿宋"/>
                <w:color w:val="auto"/>
                <w:sz w:val="21"/>
                <w:szCs w:val="21"/>
                <w:highlight w:val="none"/>
              </w:rPr>
              <w:t>分。（需提供中国电子工业标准化技术协会信息技术服务分会官方网站查询截图）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409" w:type="dxa"/>
            <w:vMerge w:val="continue"/>
            <w:noWrap w:val="0"/>
            <w:vAlign w:val="center"/>
          </w:tcPr>
          <w:p>
            <w:pPr>
              <w:spacing w:line="240" w:lineRule="auto"/>
              <w:jc w:val="center"/>
              <w:rPr>
                <w:rFonts w:hint="eastAsia" w:ascii="仿宋" w:hAnsi="仿宋" w:eastAsia="仿宋" w:cs="仿宋"/>
                <w:color w:val="auto"/>
                <w:sz w:val="21"/>
                <w:szCs w:val="21"/>
                <w:highlight w:val="none"/>
              </w:rPr>
            </w:pPr>
          </w:p>
        </w:tc>
        <w:tc>
          <w:tcPr>
            <w:tcW w:w="944" w:type="dxa"/>
            <w:vMerge w:val="continue"/>
            <w:noWrap w:val="0"/>
            <w:vAlign w:val="center"/>
          </w:tcPr>
          <w:p>
            <w:pPr>
              <w:spacing w:line="240" w:lineRule="auto"/>
              <w:jc w:val="center"/>
              <w:rPr>
                <w:rFonts w:hint="eastAsia" w:ascii="仿宋" w:hAnsi="仿宋" w:eastAsia="仿宋" w:cs="仿宋"/>
                <w:color w:val="auto"/>
                <w:sz w:val="21"/>
                <w:szCs w:val="21"/>
                <w:highlight w:val="none"/>
              </w:rPr>
            </w:pPr>
          </w:p>
        </w:tc>
        <w:tc>
          <w:tcPr>
            <w:tcW w:w="1211" w:type="dxa"/>
            <w:vMerge w:val="restart"/>
            <w:shd w:val="clear" w:color="auto" w:fill="auto"/>
            <w:noWrap w:val="0"/>
            <w:vAlign w:val="center"/>
          </w:tcPr>
          <w:p>
            <w:pPr>
              <w:snapToGrid w:val="0"/>
              <w:spacing w:line="240" w:lineRule="auto"/>
              <w:jc w:val="center"/>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人员服务能力</w:t>
            </w:r>
          </w:p>
          <w:p>
            <w:pPr>
              <w:snapToGrid w:val="0"/>
              <w:spacing w:line="240" w:lineRule="auto"/>
              <w:jc w:val="center"/>
              <w:textAlignment w:val="baseline"/>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w:t>
            </w:r>
            <w:r>
              <w:rPr>
                <w:rFonts w:hint="eastAsia" w:cs="仿宋"/>
                <w:color w:val="auto"/>
                <w:sz w:val="21"/>
                <w:szCs w:val="21"/>
                <w:highlight w:val="none"/>
                <w:lang w:val="en-US" w:eastAsia="zh-CN"/>
              </w:rPr>
              <w:t>10</w:t>
            </w:r>
            <w:r>
              <w:rPr>
                <w:rFonts w:hint="eastAsia" w:ascii="仿宋" w:hAnsi="仿宋" w:eastAsia="仿宋" w:cs="仿宋"/>
                <w:color w:val="auto"/>
                <w:sz w:val="21"/>
                <w:szCs w:val="21"/>
                <w:highlight w:val="none"/>
              </w:rPr>
              <w:t>分）</w:t>
            </w:r>
          </w:p>
        </w:tc>
        <w:tc>
          <w:tcPr>
            <w:tcW w:w="5864" w:type="dxa"/>
            <w:shd w:val="clear" w:color="auto" w:fill="auto"/>
            <w:noWrap w:val="0"/>
            <w:vAlign w:val="center"/>
          </w:tcPr>
          <w:p>
            <w:pPr>
              <w:snapToGrid w:val="0"/>
              <w:spacing w:line="240" w:lineRule="auto"/>
              <w:jc w:val="left"/>
              <w:textAlignment w:val="baseline"/>
              <w:rPr>
                <w:rFonts w:hint="default" w:ascii="仿宋" w:hAnsi="仿宋" w:eastAsia="仿宋" w:cs="仿宋"/>
                <w:color w:val="auto"/>
                <w:sz w:val="21"/>
                <w:szCs w:val="21"/>
                <w:highlight w:val="none"/>
                <w:lang w:val="en-US" w:eastAsia="zh-CN"/>
              </w:rPr>
            </w:pPr>
            <w:r>
              <w:rPr>
                <w:rFonts w:hint="eastAsia" w:cs="仿宋"/>
                <w:color w:val="auto"/>
                <w:sz w:val="21"/>
                <w:szCs w:val="21"/>
                <w:highlight w:val="none"/>
                <w:lang w:val="en-US" w:eastAsia="zh-CN"/>
              </w:rPr>
              <w:t>1、</w:t>
            </w:r>
            <w:r>
              <w:rPr>
                <w:rFonts w:hint="eastAsia" w:ascii="仿宋" w:hAnsi="仿宋" w:eastAsia="仿宋" w:cs="仿宋"/>
                <w:color w:val="auto"/>
                <w:sz w:val="21"/>
                <w:szCs w:val="21"/>
                <w:highlight w:val="none"/>
              </w:rPr>
              <w:t>项目负责人具有与“数字化转型”等相关领域的正高级职称证书的得1分。须</w:t>
            </w:r>
            <w:r>
              <w:rPr>
                <w:rFonts w:hint="eastAsia" w:cs="仿宋"/>
                <w:color w:val="auto"/>
                <w:sz w:val="21"/>
                <w:szCs w:val="21"/>
                <w:highlight w:val="none"/>
                <w:lang w:val="en-US" w:eastAsia="zh-CN"/>
              </w:rPr>
              <w:t>提供复印件加盖公章，不提供不得分。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409" w:type="dxa"/>
            <w:vMerge w:val="continue"/>
            <w:noWrap w:val="0"/>
            <w:vAlign w:val="center"/>
          </w:tcPr>
          <w:p>
            <w:pPr>
              <w:spacing w:line="240" w:lineRule="auto"/>
              <w:jc w:val="center"/>
              <w:rPr>
                <w:rFonts w:hint="eastAsia" w:ascii="仿宋" w:hAnsi="仿宋" w:eastAsia="仿宋" w:cs="仿宋"/>
                <w:color w:val="auto"/>
                <w:sz w:val="21"/>
                <w:szCs w:val="21"/>
                <w:highlight w:val="none"/>
              </w:rPr>
            </w:pPr>
          </w:p>
        </w:tc>
        <w:tc>
          <w:tcPr>
            <w:tcW w:w="944" w:type="dxa"/>
            <w:vMerge w:val="continue"/>
            <w:noWrap w:val="0"/>
            <w:vAlign w:val="center"/>
          </w:tcPr>
          <w:p>
            <w:pPr>
              <w:spacing w:line="240" w:lineRule="auto"/>
              <w:jc w:val="center"/>
              <w:rPr>
                <w:rFonts w:hint="eastAsia" w:ascii="仿宋" w:hAnsi="仿宋" w:eastAsia="仿宋" w:cs="仿宋"/>
                <w:color w:val="auto"/>
                <w:sz w:val="21"/>
                <w:szCs w:val="21"/>
                <w:highlight w:val="none"/>
              </w:rPr>
            </w:pPr>
          </w:p>
        </w:tc>
        <w:tc>
          <w:tcPr>
            <w:tcW w:w="1211" w:type="dxa"/>
            <w:vMerge w:val="continue"/>
            <w:shd w:val="clear" w:color="auto" w:fill="auto"/>
            <w:noWrap w:val="0"/>
            <w:vAlign w:val="center"/>
          </w:tcPr>
          <w:p>
            <w:pPr>
              <w:snapToGrid w:val="0"/>
              <w:spacing w:line="240" w:lineRule="auto"/>
              <w:jc w:val="center"/>
              <w:textAlignment w:val="baseline"/>
              <w:rPr>
                <w:rFonts w:hint="eastAsia" w:ascii="仿宋" w:hAnsi="仿宋" w:eastAsia="仿宋" w:cs="仿宋"/>
                <w:color w:val="auto"/>
                <w:sz w:val="21"/>
                <w:szCs w:val="21"/>
                <w:highlight w:val="none"/>
              </w:rPr>
            </w:pPr>
          </w:p>
        </w:tc>
        <w:tc>
          <w:tcPr>
            <w:tcW w:w="5864" w:type="dxa"/>
            <w:shd w:val="clear" w:color="auto" w:fill="auto"/>
            <w:noWrap w:val="0"/>
            <w:vAlign w:val="center"/>
          </w:tcPr>
          <w:p>
            <w:pPr>
              <w:snapToGrid w:val="0"/>
              <w:spacing w:line="240" w:lineRule="auto"/>
              <w:jc w:val="left"/>
              <w:textAlignment w:val="baseline"/>
              <w:rPr>
                <w:rFonts w:hint="eastAsia" w:ascii="仿宋" w:hAnsi="仿宋" w:eastAsia="仿宋" w:cs="仿宋"/>
                <w:color w:val="auto"/>
                <w:sz w:val="21"/>
                <w:szCs w:val="21"/>
                <w:highlight w:val="none"/>
              </w:rPr>
            </w:pPr>
            <w:r>
              <w:rPr>
                <w:rFonts w:hint="eastAsia" w:cs="仿宋"/>
                <w:color w:val="auto"/>
                <w:sz w:val="21"/>
                <w:szCs w:val="21"/>
                <w:highlight w:val="none"/>
                <w:lang w:val="en-US" w:eastAsia="zh-CN"/>
              </w:rPr>
              <w:t>2、</w:t>
            </w:r>
            <w:r>
              <w:rPr>
                <w:rFonts w:hint="eastAsia" w:ascii="仿宋" w:hAnsi="仿宋" w:eastAsia="仿宋" w:cs="仿宋"/>
                <w:color w:val="auto"/>
                <w:sz w:val="21"/>
                <w:szCs w:val="21"/>
                <w:highlight w:val="none"/>
              </w:rPr>
              <w:t>项目负责人具有中国工程咨询协会颁发的“咨询工程师”登记证书的（电子、信息工程专业），得1分。须</w:t>
            </w:r>
            <w:r>
              <w:rPr>
                <w:rFonts w:hint="eastAsia" w:cs="仿宋"/>
                <w:color w:val="auto"/>
                <w:sz w:val="21"/>
                <w:szCs w:val="21"/>
                <w:highlight w:val="none"/>
                <w:lang w:val="en-US" w:eastAsia="zh-CN"/>
              </w:rPr>
              <w:t>提供复印件加盖公章，不提供不得分。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409" w:type="dxa"/>
            <w:vMerge w:val="continue"/>
            <w:noWrap w:val="0"/>
            <w:vAlign w:val="center"/>
          </w:tcPr>
          <w:p>
            <w:pPr>
              <w:spacing w:line="240" w:lineRule="auto"/>
              <w:jc w:val="center"/>
              <w:rPr>
                <w:rFonts w:hint="eastAsia" w:ascii="仿宋" w:hAnsi="仿宋" w:eastAsia="仿宋" w:cs="仿宋"/>
                <w:color w:val="auto"/>
                <w:sz w:val="21"/>
                <w:szCs w:val="21"/>
                <w:highlight w:val="none"/>
              </w:rPr>
            </w:pPr>
          </w:p>
        </w:tc>
        <w:tc>
          <w:tcPr>
            <w:tcW w:w="944" w:type="dxa"/>
            <w:vMerge w:val="continue"/>
            <w:noWrap w:val="0"/>
            <w:vAlign w:val="center"/>
          </w:tcPr>
          <w:p>
            <w:pPr>
              <w:spacing w:line="240" w:lineRule="auto"/>
              <w:jc w:val="center"/>
              <w:rPr>
                <w:rFonts w:hint="eastAsia" w:ascii="仿宋" w:hAnsi="仿宋" w:eastAsia="仿宋" w:cs="仿宋"/>
                <w:color w:val="auto"/>
                <w:sz w:val="21"/>
                <w:szCs w:val="21"/>
                <w:highlight w:val="none"/>
              </w:rPr>
            </w:pPr>
          </w:p>
        </w:tc>
        <w:tc>
          <w:tcPr>
            <w:tcW w:w="1211" w:type="dxa"/>
            <w:vMerge w:val="continue"/>
            <w:shd w:val="clear" w:color="auto" w:fill="auto"/>
            <w:noWrap w:val="0"/>
            <w:vAlign w:val="center"/>
          </w:tcPr>
          <w:p>
            <w:pPr>
              <w:snapToGrid w:val="0"/>
              <w:spacing w:line="240" w:lineRule="auto"/>
              <w:jc w:val="center"/>
              <w:textAlignment w:val="baseline"/>
              <w:rPr>
                <w:rFonts w:hint="eastAsia" w:ascii="仿宋" w:hAnsi="仿宋" w:eastAsia="仿宋" w:cs="仿宋"/>
                <w:color w:val="auto"/>
                <w:sz w:val="21"/>
                <w:szCs w:val="21"/>
                <w:highlight w:val="none"/>
              </w:rPr>
            </w:pPr>
          </w:p>
        </w:tc>
        <w:tc>
          <w:tcPr>
            <w:tcW w:w="5864" w:type="dxa"/>
            <w:shd w:val="clear" w:color="auto" w:fill="auto"/>
            <w:noWrap w:val="0"/>
            <w:vAlign w:val="center"/>
          </w:tcPr>
          <w:p>
            <w:pPr>
              <w:snapToGrid w:val="0"/>
              <w:spacing w:line="240" w:lineRule="auto"/>
              <w:jc w:val="left"/>
              <w:textAlignment w:val="baseline"/>
              <w:rPr>
                <w:rFonts w:hint="eastAsia" w:ascii="仿宋" w:hAnsi="仿宋" w:eastAsia="仿宋" w:cs="仿宋"/>
                <w:color w:val="auto"/>
                <w:sz w:val="21"/>
                <w:szCs w:val="21"/>
                <w:highlight w:val="none"/>
              </w:rPr>
            </w:pPr>
            <w:r>
              <w:rPr>
                <w:rFonts w:hint="eastAsia" w:cs="仿宋"/>
                <w:color w:val="auto"/>
                <w:sz w:val="21"/>
                <w:szCs w:val="21"/>
                <w:highlight w:val="none"/>
                <w:lang w:val="en-US" w:eastAsia="zh-CN"/>
              </w:rPr>
              <w:t>3、</w:t>
            </w:r>
            <w:r>
              <w:rPr>
                <w:rFonts w:hint="eastAsia" w:ascii="仿宋" w:hAnsi="仿宋" w:eastAsia="仿宋" w:cs="仿宋"/>
                <w:color w:val="auto"/>
                <w:sz w:val="21"/>
                <w:szCs w:val="21"/>
                <w:highlight w:val="none"/>
              </w:rPr>
              <w:t>拟投入本项目的项目团队服务人员（不含项目负责人）具有“数字化转型”等相关领域的高级及以上专业职称的，每任意提供1人得0.2分；中级专业职称的，每任意提供1人得0.1分，该项满分2分。须</w:t>
            </w:r>
            <w:r>
              <w:rPr>
                <w:rFonts w:hint="eastAsia" w:cs="仿宋"/>
                <w:color w:val="auto"/>
                <w:sz w:val="21"/>
                <w:szCs w:val="21"/>
                <w:highlight w:val="none"/>
                <w:lang w:val="en-US" w:eastAsia="zh-CN"/>
              </w:rPr>
              <w:t>提供复印件加盖公章，不提供不得分。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409" w:type="dxa"/>
            <w:vMerge w:val="continue"/>
            <w:noWrap w:val="0"/>
            <w:vAlign w:val="center"/>
          </w:tcPr>
          <w:p>
            <w:pPr>
              <w:spacing w:line="240" w:lineRule="auto"/>
              <w:jc w:val="center"/>
              <w:rPr>
                <w:rFonts w:hint="eastAsia" w:ascii="仿宋" w:hAnsi="仿宋" w:eastAsia="仿宋" w:cs="仿宋"/>
                <w:color w:val="auto"/>
                <w:sz w:val="21"/>
                <w:szCs w:val="21"/>
                <w:highlight w:val="none"/>
              </w:rPr>
            </w:pPr>
          </w:p>
        </w:tc>
        <w:tc>
          <w:tcPr>
            <w:tcW w:w="944" w:type="dxa"/>
            <w:vMerge w:val="continue"/>
            <w:noWrap w:val="0"/>
            <w:vAlign w:val="center"/>
          </w:tcPr>
          <w:p>
            <w:pPr>
              <w:spacing w:line="240" w:lineRule="auto"/>
              <w:jc w:val="center"/>
              <w:rPr>
                <w:rFonts w:hint="eastAsia" w:ascii="仿宋" w:hAnsi="仿宋" w:eastAsia="仿宋" w:cs="仿宋"/>
                <w:color w:val="auto"/>
                <w:sz w:val="21"/>
                <w:szCs w:val="21"/>
                <w:highlight w:val="none"/>
              </w:rPr>
            </w:pPr>
          </w:p>
        </w:tc>
        <w:tc>
          <w:tcPr>
            <w:tcW w:w="1211" w:type="dxa"/>
            <w:vMerge w:val="continue"/>
            <w:shd w:val="clear" w:color="auto" w:fill="auto"/>
            <w:noWrap w:val="0"/>
            <w:vAlign w:val="center"/>
          </w:tcPr>
          <w:p>
            <w:pPr>
              <w:snapToGrid w:val="0"/>
              <w:spacing w:line="240" w:lineRule="auto"/>
              <w:jc w:val="center"/>
              <w:textAlignment w:val="baseline"/>
              <w:rPr>
                <w:rFonts w:hint="eastAsia" w:ascii="仿宋" w:hAnsi="仿宋" w:eastAsia="仿宋" w:cs="仿宋"/>
                <w:color w:val="auto"/>
                <w:sz w:val="21"/>
                <w:szCs w:val="21"/>
                <w:highlight w:val="none"/>
              </w:rPr>
            </w:pPr>
          </w:p>
        </w:tc>
        <w:tc>
          <w:tcPr>
            <w:tcW w:w="5864" w:type="dxa"/>
            <w:shd w:val="clear" w:color="auto" w:fill="auto"/>
            <w:noWrap w:val="0"/>
            <w:vAlign w:val="center"/>
          </w:tcPr>
          <w:p>
            <w:pPr>
              <w:snapToGrid w:val="0"/>
              <w:spacing w:line="240" w:lineRule="auto"/>
              <w:jc w:val="left"/>
              <w:textAlignment w:val="baseline"/>
              <w:rPr>
                <w:rFonts w:hint="eastAsia" w:ascii="仿宋" w:hAnsi="仿宋" w:eastAsia="仿宋" w:cs="仿宋"/>
                <w:color w:val="auto"/>
                <w:sz w:val="21"/>
                <w:szCs w:val="21"/>
                <w:highlight w:val="none"/>
              </w:rPr>
            </w:pPr>
            <w:r>
              <w:rPr>
                <w:rFonts w:hint="eastAsia" w:cs="仿宋"/>
                <w:color w:val="auto"/>
                <w:sz w:val="21"/>
                <w:szCs w:val="21"/>
                <w:highlight w:val="none"/>
                <w:lang w:val="en-US" w:eastAsia="zh-CN"/>
              </w:rPr>
              <w:t>4、</w:t>
            </w:r>
            <w:r>
              <w:rPr>
                <w:rFonts w:hint="eastAsia" w:ascii="仿宋" w:hAnsi="仿宋" w:eastAsia="仿宋" w:cs="仿宋"/>
                <w:color w:val="auto"/>
                <w:sz w:val="21"/>
                <w:szCs w:val="21"/>
                <w:highlight w:val="none"/>
              </w:rPr>
              <w:t>拟投入本项目的项目团队服务人员（不含项目负责人）具有“信息技术服务标准评估师”的，每提供一人</w:t>
            </w:r>
            <w:r>
              <w:rPr>
                <w:rFonts w:hint="eastAsia" w:cs="仿宋"/>
                <w:color w:val="auto"/>
                <w:sz w:val="21"/>
                <w:szCs w:val="21"/>
                <w:highlight w:val="none"/>
                <w:lang w:val="en-US" w:eastAsia="zh-CN"/>
              </w:rPr>
              <w:t>1</w:t>
            </w:r>
            <w:r>
              <w:rPr>
                <w:rFonts w:hint="eastAsia" w:ascii="仿宋" w:hAnsi="仿宋" w:eastAsia="仿宋" w:cs="仿宋"/>
                <w:color w:val="auto"/>
                <w:sz w:val="21"/>
                <w:szCs w:val="21"/>
                <w:highlight w:val="none"/>
              </w:rPr>
              <w:t>分。该项满分</w:t>
            </w:r>
            <w:r>
              <w:rPr>
                <w:rFonts w:hint="eastAsia" w:cs="仿宋"/>
                <w:color w:val="auto"/>
                <w:sz w:val="21"/>
                <w:szCs w:val="21"/>
                <w:highlight w:val="none"/>
                <w:lang w:val="en-US" w:eastAsia="zh-CN"/>
              </w:rPr>
              <w:t>2</w:t>
            </w:r>
            <w:r>
              <w:rPr>
                <w:rFonts w:hint="eastAsia" w:ascii="仿宋" w:hAnsi="仿宋" w:eastAsia="仿宋" w:cs="仿宋"/>
                <w:color w:val="auto"/>
                <w:sz w:val="21"/>
                <w:szCs w:val="21"/>
                <w:highlight w:val="none"/>
              </w:rPr>
              <w:t>分。（须提供信息技术服务分会官方网站查询截图）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409" w:type="dxa"/>
            <w:vMerge w:val="continue"/>
            <w:noWrap w:val="0"/>
            <w:vAlign w:val="center"/>
          </w:tcPr>
          <w:p>
            <w:pPr>
              <w:spacing w:line="240" w:lineRule="auto"/>
              <w:jc w:val="center"/>
              <w:rPr>
                <w:rFonts w:hint="eastAsia" w:ascii="仿宋" w:hAnsi="仿宋" w:eastAsia="仿宋" w:cs="仿宋"/>
                <w:color w:val="auto"/>
                <w:sz w:val="21"/>
                <w:szCs w:val="21"/>
                <w:highlight w:val="none"/>
              </w:rPr>
            </w:pPr>
          </w:p>
        </w:tc>
        <w:tc>
          <w:tcPr>
            <w:tcW w:w="944" w:type="dxa"/>
            <w:vMerge w:val="continue"/>
            <w:noWrap w:val="0"/>
            <w:vAlign w:val="center"/>
          </w:tcPr>
          <w:p>
            <w:pPr>
              <w:spacing w:line="240" w:lineRule="auto"/>
              <w:jc w:val="center"/>
              <w:rPr>
                <w:rFonts w:hint="eastAsia" w:ascii="仿宋" w:hAnsi="仿宋" w:eastAsia="仿宋" w:cs="仿宋"/>
                <w:color w:val="auto"/>
                <w:sz w:val="21"/>
                <w:szCs w:val="21"/>
                <w:highlight w:val="none"/>
              </w:rPr>
            </w:pPr>
          </w:p>
        </w:tc>
        <w:tc>
          <w:tcPr>
            <w:tcW w:w="1211" w:type="dxa"/>
            <w:vMerge w:val="continue"/>
            <w:shd w:val="clear" w:color="auto" w:fill="auto"/>
            <w:noWrap w:val="0"/>
            <w:vAlign w:val="center"/>
          </w:tcPr>
          <w:p>
            <w:pPr>
              <w:snapToGrid w:val="0"/>
              <w:spacing w:line="240" w:lineRule="auto"/>
              <w:jc w:val="center"/>
              <w:textAlignment w:val="baseline"/>
              <w:rPr>
                <w:rFonts w:hint="eastAsia" w:ascii="仿宋" w:hAnsi="仿宋" w:eastAsia="仿宋" w:cs="仿宋"/>
                <w:color w:val="auto"/>
                <w:sz w:val="21"/>
                <w:szCs w:val="21"/>
                <w:highlight w:val="none"/>
              </w:rPr>
            </w:pPr>
          </w:p>
        </w:tc>
        <w:tc>
          <w:tcPr>
            <w:tcW w:w="5864" w:type="dxa"/>
            <w:shd w:val="clear" w:color="auto" w:fill="auto"/>
            <w:noWrap w:val="0"/>
            <w:vAlign w:val="center"/>
          </w:tcPr>
          <w:p>
            <w:pPr>
              <w:snapToGrid w:val="0"/>
              <w:spacing w:line="240" w:lineRule="auto"/>
              <w:jc w:val="left"/>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拟投入本项目的项目团队服务人员（不含项目负责人）具有智能制造能力成熟度模型评估师证书的，得1分。该项满分1分。须</w:t>
            </w:r>
            <w:r>
              <w:rPr>
                <w:rFonts w:hint="eastAsia" w:cs="仿宋"/>
                <w:color w:val="auto"/>
                <w:sz w:val="21"/>
                <w:szCs w:val="21"/>
                <w:highlight w:val="none"/>
                <w:lang w:val="en-US" w:eastAsia="zh-CN"/>
              </w:rPr>
              <w:t>提供复印件加盖公章，不提供不得分。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409" w:type="dxa"/>
            <w:vMerge w:val="continue"/>
            <w:noWrap w:val="0"/>
            <w:vAlign w:val="center"/>
          </w:tcPr>
          <w:p>
            <w:pPr>
              <w:spacing w:line="240" w:lineRule="auto"/>
              <w:jc w:val="center"/>
              <w:rPr>
                <w:rFonts w:hint="eastAsia" w:ascii="仿宋" w:hAnsi="仿宋" w:eastAsia="仿宋" w:cs="仿宋"/>
                <w:color w:val="auto"/>
                <w:sz w:val="21"/>
                <w:szCs w:val="21"/>
                <w:highlight w:val="none"/>
              </w:rPr>
            </w:pPr>
          </w:p>
        </w:tc>
        <w:tc>
          <w:tcPr>
            <w:tcW w:w="944" w:type="dxa"/>
            <w:vMerge w:val="continue"/>
            <w:noWrap w:val="0"/>
            <w:vAlign w:val="center"/>
          </w:tcPr>
          <w:p>
            <w:pPr>
              <w:spacing w:line="240" w:lineRule="auto"/>
              <w:jc w:val="center"/>
              <w:rPr>
                <w:rFonts w:hint="eastAsia" w:ascii="仿宋" w:hAnsi="仿宋" w:eastAsia="仿宋" w:cs="仿宋"/>
                <w:color w:val="auto"/>
                <w:sz w:val="21"/>
                <w:szCs w:val="21"/>
                <w:highlight w:val="none"/>
              </w:rPr>
            </w:pPr>
          </w:p>
        </w:tc>
        <w:tc>
          <w:tcPr>
            <w:tcW w:w="1211" w:type="dxa"/>
            <w:vMerge w:val="continue"/>
            <w:shd w:val="clear" w:color="auto" w:fill="auto"/>
            <w:noWrap w:val="0"/>
            <w:vAlign w:val="center"/>
          </w:tcPr>
          <w:p>
            <w:pPr>
              <w:snapToGrid w:val="0"/>
              <w:spacing w:line="240" w:lineRule="auto"/>
              <w:jc w:val="center"/>
              <w:textAlignment w:val="baseline"/>
              <w:rPr>
                <w:rFonts w:hint="eastAsia" w:ascii="仿宋" w:hAnsi="仿宋" w:eastAsia="仿宋" w:cs="仿宋"/>
                <w:color w:val="auto"/>
                <w:sz w:val="21"/>
                <w:szCs w:val="21"/>
                <w:highlight w:val="none"/>
              </w:rPr>
            </w:pPr>
          </w:p>
        </w:tc>
        <w:tc>
          <w:tcPr>
            <w:tcW w:w="5864" w:type="dxa"/>
            <w:shd w:val="clear" w:color="auto" w:fill="auto"/>
            <w:noWrap w:val="0"/>
            <w:vAlign w:val="center"/>
          </w:tcPr>
          <w:p>
            <w:pPr>
              <w:snapToGrid w:val="0"/>
              <w:spacing w:line="240" w:lineRule="auto"/>
              <w:jc w:val="left"/>
              <w:textAlignment w:val="baseline"/>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拟投入本项目的项目团队服务人员（不含项目负责人）具有“信息系统项目管理师”的，每提供一人</w:t>
            </w:r>
            <w:r>
              <w:rPr>
                <w:rFonts w:hint="eastAsia" w:cs="仿宋"/>
                <w:color w:val="auto"/>
                <w:sz w:val="21"/>
                <w:szCs w:val="21"/>
                <w:highlight w:val="none"/>
                <w:lang w:val="en-US" w:eastAsia="zh-CN"/>
              </w:rPr>
              <w:t>1</w:t>
            </w:r>
            <w:r>
              <w:rPr>
                <w:rFonts w:hint="eastAsia" w:ascii="仿宋" w:hAnsi="仿宋" w:eastAsia="仿宋" w:cs="仿宋"/>
                <w:color w:val="auto"/>
                <w:sz w:val="21"/>
                <w:szCs w:val="21"/>
                <w:highlight w:val="none"/>
              </w:rPr>
              <w:t>分。该项满分</w:t>
            </w:r>
            <w:r>
              <w:rPr>
                <w:rFonts w:hint="eastAsia" w:cs="仿宋"/>
                <w:color w:val="auto"/>
                <w:sz w:val="21"/>
                <w:szCs w:val="21"/>
                <w:highlight w:val="none"/>
                <w:lang w:val="en-US" w:eastAsia="zh-CN"/>
              </w:rPr>
              <w:t>2</w:t>
            </w:r>
            <w:r>
              <w:rPr>
                <w:rFonts w:hint="eastAsia" w:ascii="仿宋" w:hAnsi="仿宋" w:eastAsia="仿宋" w:cs="仿宋"/>
                <w:color w:val="auto"/>
                <w:sz w:val="21"/>
                <w:szCs w:val="21"/>
                <w:highlight w:val="none"/>
              </w:rPr>
              <w:t>分。须</w:t>
            </w:r>
            <w:r>
              <w:rPr>
                <w:rFonts w:hint="eastAsia" w:cs="仿宋"/>
                <w:color w:val="auto"/>
                <w:sz w:val="21"/>
                <w:szCs w:val="21"/>
                <w:highlight w:val="none"/>
                <w:lang w:val="en-US" w:eastAsia="zh-CN"/>
              </w:rPr>
              <w:t>提供复印件加盖公章，不提供不得分。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409" w:type="dxa"/>
            <w:vMerge w:val="continue"/>
            <w:noWrap w:val="0"/>
            <w:vAlign w:val="center"/>
          </w:tcPr>
          <w:p>
            <w:pPr>
              <w:spacing w:line="240" w:lineRule="auto"/>
              <w:jc w:val="center"/>
              <w:rPr>
                <w:rFonts w:hint="eastAsia" w:ascii="仿宋" w:hAnsi="仿宋" w:eastAsia="仿宋" w:cs="仿宋"/>
                <w:color w:val="auto"/>
                <w:sz w:val="21"/>
                <w:szCs w:val="21"/>
                <w:highlight w:val="none"/>
              </w:rPr>
            </w:pPr>
          </w:p>
        </w:tc>
        <w:tc>
          <w:tcPr>
            <w:tcW w:w="944" w:type="dxa"/>
            <w:vMerge w:val="continue"/>
            <w:noWrap w:val="0"/>
            <w:vAlign w:val="center"/>
          </w:tcPr>
          <w:p>
            <w:pPr>
              <w:spacing w:line="240" w:lineRule="auto"/>
              <w:jc w:val="center"/>
              <w:rPr>
                <w:rFonts w:hint="eastAsia" w:ascii="仿宋" w:hAnsi="仿宋" w:eastAsia="仿宋" w:cs="仿宋"/>
                <w:color w:val="auto"/>
                <w:sz w:val="21"/>
                <w:szCs w:val="21"/>
                <w:highlight w:val="none"/>
              </w:rPr>
            </w:pPr>
          </w:p>
        </w:tc>
        <w:tc>
          <w:tcPr>
            <w:tcW w:w="1211" w:type="dxa"/>
            <w:vMerge w:val="continue"/>
            <w:shd w:val="clear" w:color="auto" w:fill="auto"/>
            <w:noWrap w:val="0"/>
            <w:vAlign w:val="center"/>
          </w:tcPr>
          <w:p>
            <w:pPr>
              <w:snapToGrid w:val="0"/>
              <w:spacing w:line="240" w:lineRule="auto"/>
              <w:jc w:val="center"/>
              <w:textAlignment w:val="baseline"/>
              <w:rPr>
                <w:rFonts w:hint="eastAsia" w:ascii="仿宋" w:hAnsi="仿宋" w:eastAsia="仿宋" w:cs="仿宋"/>
                <w:color w:val="auto"/>
                <w:sz w:val="21"/>
                <w:szCs w:val="21"/>
                <w:highlight w:val="none"/>
              </w:rPr>
            </w:pPr>
          </w:p>
        </w:tc>
        <w:tc>
          <w:tcPr>
            <w:tcW w:w="5864" w:type="dxa"/>
            <w:shd w:val="clear" w:color="auto" w:fill="auto"/>
            <w:noWrap w:val="0"/>
            <w:vAlign w:val="center"/>
          </w:tcPr>
          <w:p>
            <w:pPr>
              <w:snapToGrid w:val="0"/>
              <w:spacing w:line="240" w:lineRule="auto"/>
              <w:jc w:val="left"/>
              <w:textAlignment w:val="baseline"/>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rPr>
              <w:t>项目负责人具有省人力资源和社会保障厅颁发的“数字化转型”相关领域的结业证书</w:t>
            </w:r>
            <w:r>
              <w:rPr>
                <w:rFonts w:hint="eastAsia" w:cs="仿宋"/>
                <w:color w:val="auto"/>
                <w:sz w:val="21"/>
                <w:szCs w:val="21"/>
                <w:highlight w:val="none"/>
                <w:lang w:val="en-US" w:eastAsia="zh-CN"/>
              </w:rPr>
              <w:t>的，</w:t>
            </w:r>
            <w:r>
              <w:rPr>
                <w:rFonts w:hint="eastAsia" w:ascii="仿宋" w:hAnsi="仿宋" w:eastAsia="仿宋" w:cs="仿宋"/>
                <w:color w:val="auto"/>
                <w:sz w:val="21"/>
                <w:szCs w:val="21"/>
                <w:highlight w:val="none"/>
              </w:rPr>
              <w:t>得1分。须</w:t>
            </w:r>
            <w:r>
              <w:rPr>
                <w:rFonts w:hint="eastAsia" w:cs="仿宋"/>
                <w:color w:val="auto"/>
                <w:sz w:val="21"/>
                <w:szCs w:val="21"/>
                <w:highlight w:val="none"/>
                <w:lang w:val="en-US" w:eastAsia="zh-CN"/>
              </w:rPr>
              <w:t>提供复印件加盖公章，不提供不得分。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trPr>
        <w:tc>
          <w:tcPr>
            <w:tcW w:w="409" w:type="dxa"/>
            <w:vMerge w:val="continue"/>
            <w:noWrap w:val="0"/>
            <w:vAlign w:val="center"/>
          </w:tcPr>
          <w:p>
            <w:pPr>
              <w:spacing w:line="240" w:lineRule="auto"/>
              <w:jc w:val="center"/>
              <w:rPr>
                <w:rFonts w:hint="eastAsia" w:ascii="仿宋" w:hAnsi="仿宋" w:eastAsia="仿宋" w:cs="仿宋"/>
                <w:color w:val="auto"/>
                <w:sz w:val="21"/>
                <w:szCs w:val="21"/>
                <w:highlight w:val="none"/>
              </w:rPr>
            </w:pPr>
          </w:p>
        </w:tc>
        <w:tc>
          <w:tcPr>
            <w:tcW w:w="944" w:type="dxa"/>
            <w:vMerge w:val="continue"/>
            <w:noWrap w:val="0"/>
            <w:vAlign w:val="center"/>
          </w:tcPr>
          <w:p>
            <w:pPr>
              <w:spacing w:line="240" w:lineRule="auto"/>
              <w:jc w:val="center"/>
              <w:rPr>
                <w:rFonts w:hint="eastAsia" w:ascii="仿宋" w:hAnsi="仿宋" w:eastAsia="仿宋" w:cs="仿宋"/>
                <w:color w:val="auto"/>
                <w:sz w:val="21"/>
                <w:szCs w:val="21"/>
                <w:highlight w:val="none"/>
              </w:rPr>
            </w:pPr>
          </w:p>
        </w:tc>
        <w:tc>
          <w:tcPr>
            <w:tcW w:w="1211" w:type="dxa"/>
            <w:shd w:val="clear" w:color="auto" w:fill="auto"/>
            <w:noWrap w:val="0"/>
            <w:vAlign w:val="center"/>
          </w:tcPr>
          <w:p>
            <w:pPr>
              <w:snapToGrid w:val="0"/>
              <w:spacing w:line="240" w:lineRule="auto"/>
              <w:jc w:val="center"/>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投标人业绩证明</w:t>
            </w:r>
          </w:p>
          <w:p>
            <w:pPr>
              <w:snapToGrid w:val="0"/>
              <w:spacing w:line="240" w:lineRule="auto"/>
              <w:jc w:val="center"/>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4分</w:t>
            </w:r>
            <w:r>
              <w:rPr>
                <w:rFonts w:hint="eastAsia" w:ascii="仿宋" w:hAnsi="仿宋" w:eastAsia="仿宋" w:cs="仿宋"/>
                <w:color w:val="auto"/>
                <w:sz w:val="21"/>
                <w:szCs w:val="21"/>
                <w:highlight w:val="none"/>
                <w:lang w:eastAsia="zh-CN"/>
              </w:rPr>
              <w:t>）</w:t>
            </w:r>
          </w:p>
        </w:tc>
        <w:tc>
          <w:tcPr>
            <w:tcW w:w="5864" w:type="dxa"/>
            <w:shd w:val="clear" w:color="auto" w:fill="auto"/>
            <w:noWrap w:val="0"/>
            <w:vAlign w:val="center"/>
          </w:tcPr>
          <w:p>
            <w:pPr>
              <w:snapToGrid w:val="0"/>
              <w:spacing w:line="240" w:lineRule="auto"/>
              <w:jc w:val="left"/>
              <w:textAlignment w:val="baseline"/>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投标人自202</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年至今承接过国家中小企业数字化转型试点城市评测相关工作，得</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分，无相关经验不得分。（须提供合同原件扫描件或复印件加盖公章，合同以签订时间为准）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409" w:type="dxa"/>
            <w:vMerge w:val="continue"/>
            <w:noWrap w:val="0"/>
            <w:vAlign w:val="center"/>
          </w:tcPr>
          <w:p>
            <w:pPr>
              <w:spacing w:line="240" w:lineRule="auto"/>
              <w:jc w:val="center"/>
              <w:rPr>
                <w:rFonts w:hint="eastAsia" w:ascii="仿宋" w:hAnsi="仿宋" w:eastAsia="仿宋" w:cs="仿宋"/>
                <w:color w:val="auto"/>
                <w:sz w:val="21"/>
                <w:szCs w:val="21"/>
                <w:highlight w:val="none"/>
              </w:rPr>
            </w:pPr>
          </w:p>
        </w:tc>
        <w:tc>
          <w:tcPr>
            <w:tcW w:w="944" w:type="dxa"/>
            <w:vMerge w:val="continue"/>
            <w:noWrap w:val="0"/>
            <w:vAlign w:val="center"/>
          </w:tcPr>
          <w:p>
            <w:pPr>
              <w:spacing w:line="240" w:lineRule="auto"/>
              <w:jc w:val="center"/>
              <w:rPr>
                <w:rFonts w:hint="eastAsia" w:ascii="仿宋" w:hAnsi="仿宋" w:eastAsia="仿宋" w:cs="仿宋"/>
                <w:color w:val="auto"/>
                <w:sz w:val="21"/>
                <w:szCs w:val="21"/>
                <w:highlight w:val="none"/>
              </w:rPr>
            </w:pPr>
          </w:p>
        </w:tc>
        <w:tc>
          <w:tcPr>
            <w:tcW w:w="1211" w:type="dxa"/>
            <w:vMerge w:val="restart"/>
            <w:shd w:val="clear" w:color="auto" w:fill="auto"/>
            <w:noWrap w:val="0"/>
            <w:vAlign w:val="center"/>
          </w:tcPr>
          <w:p>
            <w:pPr>
              <w:pStyle w:val="48"/>
              <w:ind w:firstLine="0"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服务承诺</w:t>
            </w:r>
          </w:p>
          <w:p>
            <w:pPr>
              <w:pStyle w:val="48"/>
              <w:ind w:firstLine="0"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（6分）</w:t>
            </w:r>
          </w:p>
        </w:tc>
        <w:tc>
          <w:tcPr>
            <w:tcW w:w="5864" w:type="dxa"/>
            <w:shd w:val="clear" w:color="auto" w:fill="auto"/>
            <w:noWrap w:val="0"/>
            <w:vAlign w:val="center"/>
          </w:tcPr>
          <w:p>
            <w:pPr>
              <w:snapToGrid w:val="0"/>
              <w:spacing w:line="240" w:lineRule="auto"/>
              <w:jc w:val="both"/>
              <w:textAlignment w:val="baseline"/>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投标人提供的服务承诺，包括但不限于以下：</w:t>
            </w:r>
          </w:p>
          <w:p>
            <w:pPr>
              <w:snapToGrid w:val="0"/>
              <w:spacing w:line="240" w:lineRule="auto"/>
              <w:jc w:val="both"/>
              <w:textAlignment w:val="baseline"/>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1、服务网点的设定</w:t>
            </w:r>
          </w:p>
          <w:p>
            <w:pPr>
              <w:snapToGrid w:val="0"/>
              <w:spacing w:line="240" w:lineRule="auto"/>
              <w:jc w:val="both"/>
              <w:textAlignment w:val="baseline"/>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2、服务培训计划</w:t>
            </w:r>
          </w:p>
          <w:p>
            <w:pPr>
              <w:snapToGrid w:val="0"/>
              <w:spacing w:line="240" w:lineRule="auto"/>
              <w:jc w:val="both"/>
              <w:textAlignment w:val="baseline"/>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3、服务人员安排</w:t>
            </w:r>
          </w:p>
          <w:p>
            <w:pPr>
              <w:snapToGrid w:val="0"/>
              <w:spacing w:line="240" w:lineRule="auto"/>
              <w:jc w:val="both"/>
              <w:textAlignment w:val="baseline"/>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以上三项内容每提供一项得1分，满分3分；对上述内容只是复制粘贴、没有具体描述说明或描述内容与本项目无关的均视为不符合要求，不提供或不符合要求不得分。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409" w:type="dxa"/>
            <w:vMerge w:val="continue"/>
            <w:noWrap w:val="0"/>
            <w:vAlign w:val="center"/>
          </w:tcPr>
          <w:p>
            <w:pPr>
              <w:spacing w:line="240" w:lineRule="auto"/>
              <w:jc w:val="center"/>
              <w:rPr>
                <w:rFonts w:hint="eastAsia" w:ascii="仿宋" w:hAnsi="仿宋" w:eastAsia="仿宋" w:cs="仿宋"/>
                <w:color w:val="auto"/>
                <w:sz w:val="21"/>
                <w:szCs w:val="21"/>
                <w:highlight w:val="none"/>
              </w:rPr>
            </w:pPr>
          </w:p>
        </w:tc>
        <w:tc>
          <w:tcPr>
            <w:tcW w:w="944" w:type="dxa"/>
            <w:vMerge w:val="continue"/>
            <w:noWrap w:val="0"/>
            <w:vAlign w:val="center"/>
          </w:tcPr>
          <w:p>
            <w:pPr>
              <w:spacing w:line="240" w:lineRule="auto"/>
              <w:jc w:val="center"/>
              <w:rPr>
                <w:rFonts w:hint="eastAsia" w:ascii="仿宋" w:hAnsi="仿宋" w:eastAsia="仿宋" w:cs="仿宋"/>
                <w:color w:val="auto"/>
                <w:sz w:val="21"/>
                <w:szCs w:val="21"/>
                <w:highlight w:val="none"/>
              </w:rPr>
            </w:pPr>
          </w:p>
        </w:tc>
        <w:tc>
          <w:tcPr>
            <w:tcW w:w="1211" w:type="dxa"/>
            <w:vMerge w:val="continue"/>
            <w:shd w:val="clear" w:color="auto" w:fill="auto"/>
            <w:noWrap w:val="0"/>
            <w:vAlign w:val="center"/>
          </w:tcPr>
          <w:p>
            <w:pPr>
              <w:pStyle w:val="48"/>
              <w:ind w:firstLine="0" w:firstLineChars="0"/>
              <w:jc w:val="center"/>
              <w:rPr>
                <w:rFonts w:hint="eastAsia" w:ascii="仿宋" w:hAnsi="仿宋" w:eastAsia="仿宋" w:cs="仿宋"/>
                <w:color w:val="auto"/>
                <w:kern w:val="2"/>
                <w:sz w:val="21"/>
                <w:szCs w:val="21"/>
                <w:highlight w:val="none"/>
                <w:lang w:val="en-US" w:eastAsia="zh-CN" w:bidi="ar-SA"/>
              </w:rPr>
            </w:pPr>
          </w:p>
        </w:tc>
        <w:tc>
          <w:tcPr>
            <w:tcW w:w="5864" w:type="dxa"/>
            <w:shd w:val="clear" w:color="auto" w:fill="auto"/>
            <w:noWrap w:val="0"/>
            <w:vAlign w:val="center"/>
          </w:tcPr>
          <w:p>
            <w:pPr>
              <w:snapToGrid w:val="0"/>
              <w:spacing w:line="240" w:lineRule="auto"/>
              <w:jc w:val="left"/>
              <w:textAlignment w:val="baseline"/>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服务响应时间：采购人及项目方遇到技术问题，应提供专人负责对接，电话咨询不能解决的，投标人应在3小时内到达现场进行处理，确保甲方正常工作，提供服务承诺书的得3分，不提供不得分。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409" w:type="dxa"/>
            <w:vMerge w:val="restart"/>
            <w:noWrap w:val="0"/>
            <w:vAlign w:val="center"/>
          </w:tcPr>
          <w:p>
            <w:pPr>
              <w:snapToGrid w:val="0"/>
              <w:spacing w:line="240" w:lineRule="auto"/>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3</w:t>
            </w:r>
          </w:p>
        </w:tc>
        <w:tc>
          <w:tcPr>
            <w:tcW w:w="944" w:type="dxa"/>
            <w:vMerge w:val="restart"/>
            <w:noWrap w:val="0"/>
            <w:vAlign w:val="center"/>
          </w:tcPr>
          <w:p>
            <w:pPr>
              <w:snapToGrid w:val="0"/>
              <w:spacing w:line="240" w:lineRule="auto"/>
              <w:jc w:val="center"/>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技术</w:t>
            </w:r>
            <w:r>
              <w:rPr>
                <w:rFonts w:hint="eastAsia" w:ascii="仿宋" w:hAnsi="仿宋" w:eastAsia="仿宋" w:cs="仿宋"/>
                <w:color w:val="auto"/>
                <w:sz w:val="21"/>
                <w:szCs w:val="21"/>
                <w:highlight w:val="none"/>
              </w:rPr>
              <w:t>部分</w:t>
            </w:r>
          </w:p>
          <w:p>
            <w:pPr>
              <w:snapToGrid w:val="0"/>
              <w:spacing w:line="240" w:lineRule="auto"/>
              <w:jc w:val="center"/>
              <w:textAlignment w:val="baseline"/>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w:t>
            </w:r>
            <w:r>
              <w:rPr>
                <w:rFonts w:hint="eastAsia" w:cs="仿宋"/>
                <w:color w:val="auto"/>
                <w:sz w:val="21"/>
                <w:szCs w:val="21"/>
                <w:highlight w:val="none"/>
                <w:lang w:val="en-US" w:eastAsia="zh-CN"/>
              </w:rPr>
              <w:t>60</w:t>
            </w:r>
            <w:r>
              <w:rPr>
                <w:rFonts w:hint="eastAsia" w:ascii="仿宋" w:hAnsi="仿宋" w:eastAsia="仿宋" w:cs="仿宋"/>
                <w:color w:val="auto"/>
                <w:sz w:val="21"/>
                <w:szCs w:val="21"/>
                <w:highlight w:val="none"/>
              </w:rPr>
              <w:t>分)</w:t>
            </w:r>
          </w:p>
        </w:tc>
        <w:tc>
          <w:tcPr>
            <w:tcW w:w="1211" w:type="dxa"/>
            <w:noWrap w:val="0"/>
            <w:vAlign w:val="center"/>
          </w:tcPr>
          <w:p>
            <w:pPr>
              <w:snapToGrid w:val="0"/>
              <w:spacing w:line="240" w:lineRule="auto"/>
              <w:jc w:val="center"/>
              <w:textAlignment w:val="baseline"/>
              <w:rPr>
                <w:rFonts w:hint="eastAsia" w:cs="仿宋"/>
                <w:color w:val="auto"/>
                <w:kern w:val="2"/>
                <w:sz w:val="21"/>
                <w:szCs w:val="21"/>
                <w:highlight w:val="none"/>
                <w:lang w:val="en-US" w:eastAsia="zh-CN" w:bidi="ar-SA"/>
              </w:rPr>
            </w:pPr>
            <w:r>
              <w:rPr>
                <w:rFonts w:hint="eastAsia" w:cs="仿宋"/>
                <w:color w:val="auto"/>
                <w:kern w:val="2"/>
                <w:sz w:val="21"/>
                <w:szCs w:val="21"/>
                <w:highlight w:val="none"/>
                <w:lang w:val="en-US" w:eastAsia="zh-CN" w:bidi="ar-SA"/>
              </w:rPr>
              <w:t>项目综合说明</w:t>
            </w:r>
          </w:p>
          <w:p>
            <w:pPr>
              <w:snapToGrid w:val="0"/>
              <w:spacing w:line="240" w:lineRule="auto"/>
              <w:jc w:val="center"/>
              <w:textAlignment w:val="baseline"/>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（10分）</w:t>
            </w:r>
          </w:p>
        </w:tc>
        <w:tc>
          <w:tcPr>
            <w:tcW w:w="5864" w:type="dxa"/>
            <w:shd w:val="clear" w:color="auto" w:fill="auto"/>
            <w:noWrap w:val="0"/>
            <w:vAlign w:val="center"/>
          </w:tcPr>
          <w:p>
            <w:pPr>
              <w:snapToGrid w:val="0"/>
              <w:spacing w:line="240" w:lineRule="auto"/>
              <w:jc w:val="left"/>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根据</w:t>
            </w:r>
            <w:r>
              <w:rPr>
                <w:rFonts w:hint="eastAsia" w:ascii="仿宋" w:hAnsi="仿宋" w:eastAsia="仿宋" w:cs="仿宋"/>
                <w:color w:val="auto"/>
                <w:sz w:val="21"/>
                <w:szCs w:val="21"/>
                <w:highlight w:val="none"/>
                <w:lang w:val="zh-CN" w:eastAsia="zh-CN"/>
              </w:rPr>
              <w:t>供应商</w:t>
            </w:r>
            <w:r>
              <w:rPr>
                <w:rFonts w:hint="eastAsia" w:ascii="仿宋" w:hAnsi="仿宋" w:eastAsia="仿宋" w:cs="仿宋"/>
                <w:color w:val="auto"/>
                <w:sz w:val="21"/>
                <w:szCs w:val="21"/>
                <w:highlight w:val="none"/>
                <w:lang w:eastAsia="zh-CN"/>
              </w:rPr>
              <w:t>的服务理念、工作目标、对本项目采购需求的解读、对该项目所在地实施条件的认识及总体服务思路等情况进行综合评价</w:t>
            </w:r>
            <w:r>
              <w:rPr>
                <w:rFonts w:hint="eastAsia" w:cs="仿宋"/>
                <w:color w:val="auto"/>
                <w:sz w:val="21"/>
                <w:szCs w:val="21"/>
                <w:highlight w:val="none"/>
                <w:lang w:eastAsia="zh-CN"/>
              </w:rPr>
              <w:t>。</w:t>
            </w:r>
          </w:p>
          <w:p>
            <w:pPr>
              <w:snapToGrid w:val="0"/>
              <w:spacing w:line="240" w:lineRule="auto"/>
              <w:jc w:val="left"/>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1、内容详细具体、条理清晰、论述合理得</w:t>
            </w:r>
            <w:r>
              <w:rPr>
                <w:rFonts w:hint="eastAsia" w:cs="仿宋"/>
                <w:color w:val="auto"/>
                <w:sz w:val="21"/>
                <w:szCs w:val="21"/>
                <w:highlight w:val="none"/>
                <w:lang w:val="en-US" w:eastAsia="zh-CN"/>
              </w:rPr>
              <w:t>10</w:t>
            </w:r>
            <w:r>
              <w:rPr>
                <w:rFonts w:hint="eastAsia" w:ascii="仿宋" w:hAnsi="仿宋" w:eastAsia="仿宋" w:cs="仿宋"/>
                <w:color w:val="auto"/>
                <w:sz w:val="21"/>
                <w:szCs w:val="21"/>
                <w:highlight w:val="none"/>
              </w:rPr>
              <w:t>分；</w:t>
            </w:r>
          </w:p>
          <w:p>
            <w:pPr>
              <w:snapToGrid w:val="0"/>
              <w:spacing w:line="240" w:lineRule="auto"/>
              <w:jc w:val="left"/>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2、内容较完整、条理较清晰，得</w:t>
            </w:r>
            <w:r>
              <w:rPr>
                <w:rFonts w:hint="eastAsia" w:cs="仿宋"/>
                <w:color w:val="auto"/>
                <w:sz w:val="21"/>
                <w:szCs w:val="21"/>
                <w:highlight w:val="none"/>
                <w:lang w:val="en-US" w:eastAsia="zh-CN"/>
              </w:rPr>
              <w:t>6</w:t>
            </w:r>
            <w:r>
              <w:rPr>
                <w:rFonts w:hint="eastAsia" w:ascii="仿宋" w:hAnsi="仿宋" w:eastAsia="仿宋" w:cs="仿宋"/>
                <w:color w:val="auto"/>
                <w:sz w:val="21"/>
                <w:szCs w:val="21"/>
                <w:highlight w:val="none"/>
              </w:rPr>
              <w:t xml:space="preserve">分； </w:t>
            </w:r>
          </w:p>
          <w:p>
            <w:pPr>
              <w:snapToGrid w:val="0"/>
              <w:spacing w:line="240" w:lineRule="auto"/>
              <w:jc w:val="left"/>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3、内容简单、条理欠佳，得</w:t>
            </w:r>
            <w:r>
              <w:rPr>
                <w:rFonts w:hint="eastAsia" w:cs="仿宋"/>
                <w:color w:val="auto"/>
                <w:sz w:val="21"/>
                <w:szCs w:val="21"/>
                <w:highlight w:val="none"/>
                <w:lang w:val="en-US" w:eastAsia="zh-CN"/>
              </w:rPr>
              <w:t>3</w:t>
            </w:r>
            <w:r>
              <w:rPr>
                <w:rFonts w:hint="eastAsia" w:ascii="仿宋" w:hAnsi="仿宋" w:eastAsia="仿宋" w:cs="仿宋"/>
                <w:color w:val="auto"/>
                <w:sz w:val="21"/>
                <w:szCs w:val="21"/>
                <w:highlight w:val="none"/>
              </w:rPr>
              <w:t>分；</w:t>
            </w:r>
          </w:p>
          <w:p>
            <w:pPr>
              <w:snapToGrid w:val="0"/>
              <w:spacing w:line="240" w:lineRule="auto"/>
              <w:jc w:val="left"/>
              <w:textAlignment w:val="baseline"/>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4、未提供或不符合上述要求，不得分。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409" w:type="dxa"/>
            <w:vMerge w:val="continue"/>
            <w:noWrap w:val="0"/>
            <w:vAlign w:val="center"/>
          </w:tcPr>
          <w:p>
            <w:pPr>
              <w:snapToGrid w:val="0"/>
              <w:spacing w:line="240" w:lineRule="auto"/>
              <w:textAlignment w:val="baseline"/>
              <w:rPr>
                <w:rFonts w:hint="eastAsia" w:ascii="仿宋" w:hAnsi="仿宋" w:eastAsia="仿宋" w:cs="仿宋"/>
                <w:color w:val="auto"/>
                <w:sz w:val="21"/>
                <w:szCs w:val="21"/>
                <w:highlight w:val="none"/>
              </w:rPr>
            </w:pPr>
          </w:p>
        </w:tc>
        <w:tc>
          <w:tcPr>
            <w:tcW w:w="944" w:type="dxa"/>
            <w:vMerge w:val="continue"/>
            <w:noWrap w:val="0"/>
            <w:vAlign w:val="center"/>
          </w:tcPr>
          <w:p>
            <w:pPr>
              <w:snapToGrid w:val="0"/>
              <w:spacing w:line="240" w:lineRule="auto"/>
              <w:textAlignment w:val="baseline"/>
              <w:rPr>
                <w:rFonts w:hint="eastAsia" w:ascii="仿宋" w:hAnsi="仿宋" w:eastAsia="仿宋" w:cs="仿宋"/>
                <w:color w:val="auto"/>
                <w:sz w:val="21"/>
                <w:szCs w:val="21"/>
                <w:highlight w:val="none"/>
              </w:rPr>
            </w:pPr>
          </w:p>
        </w:tc>
        <w:tc>
          <w:tcPr>
            <w:tcW w:w="1211" w:type="dxa"/>
            <w:noWrap w:val="0"/>
            <w:vAlign w:val="center"/>
          </w:tcPr>
          <w:p>
            <w:pPr>
              <w:snapToGrid w:val="0"/>
              <w:spacing w:line="240" w:lineRule="auto"/>
              <w:jc w:val="center"/>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吉林市</w:t>
            </w:r>
            <w:r>
              <w:rPr>
                <w:rFonts w:hint="eastAsia" w:ascii="仿宋" w:hAnsi="仿宋" w:eastAsia="仿宋" w:cs="仿宋"/>
                <w:color w:val="auto"/>
                <w:sz w:val="21"/>
                <w:szCs w:val="21"/>
                <w:highlight w:val="none"/>
              </w:rPr>
              <w:t>试点城市细分行业现状分析</w:t>
            </w:r>
          </w:p>
          <w:p>
            <w:pPr>
              <w:snapToGrid w:val="0"/>
              <w:spacing w:line="240" w:lineRule="auto"/>
              <w:jc w:val="center"/>
              <w:textAlignment w:val="baseline"/>
              <w:rPr>
                <w:rFonts w:hint="eastAsia" w:ascii="仿宋" w:hAnsi="仿宋" w:eastAsia="仿宋" w:cs="仿宋"/>
                <w:color w:val="auto"/>
                <w:sz w:val="21"/>
                <w:szCs w:val="21"/>
                <w:highlight w:val="none"/>
                <w:lang w:eastAsia="zh-CN"/>
              </w:rPr>
            </w:pPr>
            <w:r>
              <w:rPr>
                <w:rFonts w:hint="eastAsia" w:cs="仿宋"/>
                <w:color w:val="auto"/>
                <w:sz w:val="21"/>
                <w:szCs w:val="21"/>
                <w:highlight w:val="none"/>
                <w:lang w:val="en-US" w:eastAsia="zh-CN"/>
              </w:rPr>
              <w:t>（10分）</w:t>
            </w:r>
          </w:p>
        </w:tc>
        <w:tc>
          <w:tcPr>
            <w:tcW w:w="5864" w:type="dxa"/>
            <w:shd w:val="clear" w:color="auto" w:fill="auto"/>
            <w:noWrap w:val="0"/>
            <w:vAlign w:val="center"/>
          </w:tcPr>
          <w:p>
            <w:pPr>
              <w:snapToGrid w:val="0"/>
              <w:spacing w:line="240" w:lineRule="auto"/>
              <w:jc w:val="left"/>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投标人需对</w:t>
            </w:r>
            <w:r>
              <w:rPr>
                <w:rFonts w:hint="eastAsia" w:ascii="仿宋" w:hAnsi="仿宋" w:eastAsia="仿宋" w:cs="仿宋"/>
                <w:color w:val="auto"/>
                <w:sz w:val="21"/>
                <w:szCs w:val="21"/>
                <w:highlight w:val="none"/>
                <w:lang w:eastAsia="zh-CN"/>
              </w:rPr>
              <w:t>吉林市</w:t>
            </w:r>
            <w:r>
              <w:rPr>
                <w:rFonts w:hint="eastAsia" w:ascii="仿宋" w:hAnsi="仿宋" w:eastAsia="仿宋" w:cs="仿宋"/>
                <w:color w:val="auto"/>
                <w:sz w:val="21"/>
                <w:szCs w:val="21"/>
                <w:highlight w:val="none"/>
              </w:rPr>
              <w:t>细分行业-化学制品及新材料制造业、汽车零部件配件及其他高端装备制造业、药品及医疗用品制造业、食品制造业、钢铁冶炼及加工业进行分析，提供分析报告，根据分析报告响应程度进行综合评审，分析报告内容包括但不限于各细分行业发展基础、发展优势、产业特色、行业规上中小企业现状等内容。</w:t>
            </w:r>
          </w:p>
          <w:p>
            <w:pPr>
              <w:snapToGrid w:val="0"/>
              <w:spacing w:line="240" w:lineRule="auto"/>
              <w:jc w:val="left"/>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1、分析内容详细具体、条理清晰、论述合理、调研充分，有详细的数据支撑，得</w:t>
            </w:r>
            <w:r>
              <w:rPr>
                <w:rFonts w:hint="eastAsia" w:cs="仿宋"/>
                <w:color w:val="auto"/>
                <w:sz w:val="21"/>
                <w:szCs w:val="21"/>
                <w:highlight w:val="none"/>
                <w:lang w:val="en-US" w:eastAsia="zh-CN"/>
              </w:rPr>
              <w:t>10</w:t>
            </w:r>
            <w:r>
              <w:rPr>
                <w:rFonts w:hint="eastAsia" w:ascii="仿宋" w:hAnsi="仿宋" w:eastAsia="仿宋" w:cs="仿宋"/>
                <w:color w:val="auto"/>
                <w:sz w:val="21"/>
                <w:szCs w:val="21"/>
                <w:highlight w:val="none"/>
              </w:rPr>
              <w:t>分；</w:t>
            </w:r>
          </w:p>
          <w:p>
            <w:pPr>
              <w:snapToGrid w:val="0"/>
              <w:spacing w:line="240" w:lineRule="auto"/>
              <w:jc w:val="left"/>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2、分析内容较完整、条理较清晰，开展了一定调研工作，能够提供粗略数据支撑，得</w:t>
            </w:r>
            <w:r>
              <w:rPr>
                <w:rFonts w:hint="eastAsia" w:cs="仿宋"/>
                <w:color w:val="auto"/>
                <w:sz w:val="21"/>
                <w:szCs w:val="21"/>
                <w:highlight w:val="none"/>
                <w:lang w:val="en-US" w:eastAsia="zh-CN"/>
              </w:rPr>
              <w:t>6</w:t>
            </w:r>
            <w:r>
              <w:rPr>
                <w:rFonts w:hint="eastAsia" w:ascii="仿宋" w:hAnsi="仿宋" w:eastAsia="仿宋" w:cs="仿宋"/>
                <w:color w:val="auto"/>
                <w:sz w:val="21"/>
                <w:szCs w:val="21"/>
                <w:highlight w:val="none"/>
              </w:rPr>
              <w:t xml:space="preserve">分； </w:t>
            </w:r>
          </w:p>
          <w:p>
            <w:pPr>
              <w:snapToGrid w:val="0"/>
              <w:spacing w:line="240" w:lineRule="auto"/>
              <w:jc w:val="left"/>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3、分析内容简单、条理欠佳，缺乏相关调研工作和数据支撑，得</w:t>
            </w:r>
            <w:r>
              <w:rPr>
                <w:rFonts w:hint="eastAsia" w:cs="仿宋"/>
                <w:color w:val="auto"/>
                <w:sz w:val="21"/>
                <w:szCs w:val="21"/>
                <w:highlight w:val="none"/>
                <w:lang w:val="en-US" w:eastAsia="zh-CN"/>
              </w:rPr>
              <w:t>3</w:t>
            </w:r>
            <w:r>
              <w:rPr>
                <w:rFonts w:hint="eastAsia" w:ascii="仿宋" w:hAnsi="仿宋" w:eastAsia="仿宋" w:cs="仿宋"/>
                <w:color w:val="auto"/>
                <w:sz w:val="21"/>
                <w:szCs w:val="21"/>
                <w:highlight w:val="none"/>
              </w:rPr>
              <w:t>分；</w:t>
            </w:r>
          </w:p>
          <w:p>
            <w:pPr>
              <w:snapToGrid w:val="0"/>
              <w:spacing w:line="240" w:lineRule="auto"/>
              <w:jc w:val="left"/>
              <w:textAlignment w:val="baseline"/>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rPr>
              <w:t>4、未提供或不符合上述要求，不得分。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409" w:type="dxa"/>
            <w:vMerge w:val="continue"/>
            <w:noWrap w:val="0"/>
            <w:vAlign w:val="center"/>
          </w:tcPr>
          <w:p>
            <w:pPr>
              <w:snapToGrid w:val="0"/>
              <w:spacing w:line="240" w:lineRule="auto"/>
              <w:textAlignment w:val="baseline"/>
              <w:rPr>
                <w:rFonts w:hint="eastAsia" w:ascii="仿宋" w:hAnsi="仿宋" w:eastAsia="仿宋" w:cs="仿宋"/>
                <w:color w:val="auto"/>
                <w:sz w:val="21"/>
                <w:szCs w:val="21"/>
                <w:highlight w:val="none"/>
              </w:rPr>
            </w:pPr>
          </w:p>
        </w:tc>
        <w:tc>
          <w:tcPr>
            <w:tcW w:w="944" w:type="dxa"/>
            <w:vMerge w:val="continue"/>
            <w:noWrap w:val="0"/>
            <w:vAlign w:val="center"/>
          </w:tcPr>
          <w:p>
            <w:pPr>
              <w:snapToGrid w:val="0"/>
              <w:spacing w:line="240" w:lineRule="auto"/>
              <w:textAlignment w:val="baseline"/>
              <w:rPr>
                <w:rFonts w:hint="eastAsia" w:ascii="仿宋" w:hAnsi="仿宋" w:eastAsia="仿宋" w:cs="仿宋"/>
                <w:color w:val="auto"/>
                <w:sz w:val="21"/>
                <w:szCs w:val="21"/>
                <w:highlight w:val="none"/>
              </w:rPr>
            </w:pPr>
          </w:p>
        </w:tc>
        <w:tc>
          <w:tcPr>
            <w:tcW w:w="1211" w:type="dxa"/>
            <w:noWrap w:val="0"/>
            <w:vAlign w:val="center"/>
          </w:tcPr>
          <w:p>
            <w:pPr>
              <w:snapToGrid w:val="0"/>
              <w:spacing w:line="240" w:lineRule="auto"/>
              <w:jc w:val="center"/>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项目实施方案</w:t>
            </w:r>
          </w:p>
          <w:p>
            <w:pPr>
              <w:snapToGrid w:val="0"/>
              <w:spacing w:line="240" w:lineRule="auto"/>
              <w:jc w:val="center"/>
              <w:textAlignment w:val="baseline"/>
              <w:rPr>
                <w:rFonts w:hint="eastAsia" w:ascii="仿宋" w:hAnsi="仿宋" w:eastAsia="仿宋" w:cs="仿宋"/>
                <w:color w:val="auto"/>
                <w:sz w:val="21"/>
                <w:szCs w:val="21"/>
                <w:highlight w:val="none"/>
                <w:lang w:val="en-US" w:eastAsia="zh-CN"/>
              </w:rPr>
            </w:pPr>
            <w:r>
              <w:rPr>
                <w:rFonts w:hint="eastAsia" w:cs="仿宋"/>
                <w:color w:val="auto"/>
                <w:sz w:val="21"/>
                <w:szCs w:val="21"/>
                <w:highlight w:val="none"/>
                <w:lang w:val="en-US" w:eastAsia="zh-CN"/>
              </w:rPr>
              <w:t>（15分）</w:t>
            </w:r>
          </w:p>
        </w:tc>
        <w:tc>
          <w:tcPr>
            <w:tcW w:w="5864" w:type="dxa"/>
            <w:shd w:val="clear" w:color="auto" w:fill="auto"/>
            <w:noWrap w:val="0"/>
            <w:vAlign w:val="center"/>
          </w:tcPr>
          <w:p>
            <w:pPr>
              <w:snapToGrid w:val="0"/>
              <w:spacing w:line="240" w:lineRule="auto"/>
              <w:jc w:val="left"/>
              <w:textAlignment w:val="baseline"/>
              <w:rPr>
                <w:rFonts w:hint="eastAsia" w:cs="仿宋"/>
                <w:color w:val="auto"/>
                <w:sz w:val="21"/>
                <w:szCs w:val="21"/>
                <w:highlight w:val="none"/>
                <w:lang w:eastAsia="zh-CN"/>
              </w:rPr>
            </w:pPr>
            <w:r>
              <w:rPr>
                <w:rFonts w:hint="eastAsia" w:ascii="仿宋" w:hAnsi="仿宋" w:eastAsia="仿宋" w:cs="仿宋"/>
                <w:color w:val="auto"/>
                <w:sz w:val="21"/>
                <w:szCs w:val="21"/>
                <w:highlight w:val="none"/>
              </w:rPr>
              <w:t>投标人需根据本项目提供项目实施方案，根据方案响应程度进行综合评审，方案内容包括但不限于</w:t>
            </w:r>
            <w:r>
              <w:rPr>
                <w:rFonts w:hint="eastAsia" w:cs="仿宋"/>
                <w:color w:val="auto"/>
                <w:sz w:val="21"/>
                <w:szCs w:val="21"/>
                <w:highlight w:val="none"/>
                <w:lang w:eastAsia="zh-CN"/>
              </w:rPr>
              <w:t>：</w:t>
            </w:r>
          </w:p>
          <w:p>
            <w:pPr>
              <w:snapToGrid w:val="0"/>
              <w:spacing w:line="240" w:lineRule="auto"/>
              <w:jc w:val="left"/>
              <w:textAlignment w:val="baseline"/>
              <w:rPr>
                <w:rFonts w:hint="eastAsia" w:ascii="仿宋" w:hAnsi="仿宋" w:eastAsia="仿宋" w:cs="仿宋"/>
                <w:color w:val="auto"/>
                <w:sz w:val="21"/>
                <w:szCs w:val="21"/>
                <w:highlight w:val="none"/>
              </w:rPr>
            </w:pPr>
            <w:r>
              <w:rPr>
                <w:rFonts w:hint="eastAsia" w:cs="仿宋"/>
                <w:color w:val="auto"/>
                <w:sz w:val="21"/>
                <w:szCs w:val="21"/>
                <w:highlight w:val="none"/>
                <w:lang w:val="en-US" w:eastAsia="zh-CN"/>
              </w:rPr>
              <w:t>①</w:t>
            </w:r>
            <w:r>
              <w:rPr>
                <w:rFonts w:hint="eastAsia" w:ascii="仿宋" w:hAnsi="仿宋" w:eastAsia="仿宋" w:cs="仿宋"/>
                <w:color w:val="auto"/>
                <w:sz w:val="21"/>
                <w:szCs w:val="21"/>
                <w:highlight w:val="none"/>
              </w:rPr>
              <w:t>项目实施组织</w:t>
            </w:r>
            <w:r>
              <w:rPr>
                <w:rFonts w:hint="eastAsia" w:cs="仿宋"/>
                <w:color w:val="auto"/>
                <w:sz w:val="21"/>
                <w:szCs w:val="21"/>
                <w:highlight w:val="none"/>
                <w:lang w:val="en-US" w:eastAsia="zh-CN"/>
              </w:rPr>
              <w:t>②</w:t>
            </w:r>
            <w:r>
              <w:rPr>
                <w:rFonts w:hint="eastAsia" w:ascii="仿宋" w:hAnsi="仿宋" w:eastAsia="仿宋" w:cs="仿宋"/>
                <w:color w:val="auto"/>
                <w:sz w:val="21"/>
                <w:szCs w:val="21"/>
                <w:highlight w:val="none"/>
              </w:rPr>
              <w:t>实施进度计划</w:t>
            </w:r>
            <w:r>
              <w:rPr>
                <w:rFonts w:hint="eastAsia" w:cs="仿宋"/>
                <w:color w:val="auto"/>
                <w:sz w:val="21"/>
                <w:szCs w:val="21"/>
                <w:highlight w:val="none"/>
                <w:lang w:val="en-US" w:eastAsia="zh-CN"/>
              </w:rPr>
              <w:t>③</w:t>
            </w:r>
            <w:r>
              <w:rPr>
                <w:rFonts w:hint="eastAsia" w:ascii="仿宋" w:hAnsi="仿宋" w:eastAsia="仿宋" w:cs="仿宋"/>
                <w:color w:val="auto"/>
                <w:sz w:val="21"/>
                <w:szCs w:val="21"/>
                <w:highlight w:val="none"/>
              </w:rPr>
              <w:t>实施进度保证措施</w:t>
            </w:r>
            <w:r>
              <w:rPr>
                <w:rFonts w:hint="eastAsia" w:cs="仿宋"/>
                <w:color w:val="auto"/>
                <w:sz w:val="21"/>
                <w:szCs w:val="21"/>
                <w:highlight w:val="none"/>
                <w:lang w:val="en-US" w:eastAsia="zh-CN"/>
              </w:rPr>
              <w:t>④</w:t>
            </w:r>
            <w:r>
              <w:rPr>
                <w:rFonts w:hint="eastAsia" w:ascii="仿宋" w:hAnsi="仿宋" w:eastAsia="仿宋" w:cs="仿宋"/>
                <w:color w:val="auto"/>
                <w:sz w:val="21"/>
                <w:szCs w:val="21"/>
                <w:highlight w:val="none"/>
              </w:rPr>
              <w:t>项目保密管理</w:t>
            </w:r>
            <w:r>
              <w:rPr>
                <w:rFonts w:hint="eastAsia" w:cs="仿宋"/>
                <w:color w:val="auto"/>
                <w:sz w:val="21"/>
                <w:szCs w:val="21"/>
                <w:highlight w:val="none"/>
                <w:lang w:val="en-US" w:eastAsia="zh-CN"/>
              </w:rPr>
              <w:t>⑤</w:t>
            </w:r>
            <w:r>
              <w:rPr>
                <w:rFonts w:hint="eastAsia" w:ascii="仿宋" w:hAnsi="仿宋" w:eastAsia="仿宋" w:cs="仿宋"/>
                <w:color w:val="auto"/>
                <w:sz w:val="21"/>
                <w:szCs w:val="21"/>
                <w:highlight w:val="none"/>
              </w:rPr>
              <w:t>文档资料管理</w:t>
            </w:r>
            <w:r>
              <w:rPr>
                <w:rFonts w:hint="eastAsia" w:cs="仿宋"/>
                <w:color w:val="auto"/>
                <w:sz w:val="21"/>
                <w:szCs w:val="21"/>
                <w:highlight w:val="none"/>
                <w:lang w:val="en-US" w:eastAsia="zh-CN"/>
              </w:rPr>
              <w:t>⑥</w:t>
            </w:r>
            <w:r>
              <w:rPr>
                <w:rFonts w:hint="eastAsia" w:ascii="仿宋" w:hAnsi="仿宋" w:eastAsia="仿宋" w:cs="仿宋"/>
                <w:color w:val="auto"/>
                <w:sz w:val="21"/>
                <w:szCs w:val="21"/>
                <w:highlight w:val="none"/>
              </w:rPr>
              <w:t>项目验收等内容</w:t>
            </w:r>
          </w:p>
          <w:p>
            <w:pPr>
              <w:snapToGrid w:val="0"/>
              <w:spacing w:line="240" w:lineRule="auto"/>
              <w:jc w:val="left"/>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1、项目实施方案内容特别详尽，各阶段进度计划安排完全符合实施周期要求，质量保证、进度保证、风险管控措施合理可行，针对性强，得</w:t>
            </w:r>
            <w:r>
              <w:rPr>
                <w:rFonts w:hint="eastAsia" w:cs="仿宋"/>
                <w:color w:val="auto"/>
                <w:sz w:val="21"/>
                <w:szCs w:val="21"/>
                <w:highlight w:val="none"/>
                <w:lang w:val="en-US" w:eastAsia="zh-CN"/>
              </w:rPr>
              <w:t>15</w:t>
            </w:r>
            <w:r>
              <w:rPr>
                <w:rFonts w:hint="eastAsia" w:ascii="仿宋" w:hAnsi="仿宋" w:eastAsia="仿宋" w:cs="仿宋"/>
                <w:color w:val="auto"/>
                <w:sz w:val="21"/>
                <w:szCs w:val="21"/>
                <w:highlight w:val="none"/>
              </w:rPr>
              <w:t>分;</w:t>
            </w:r>
          </w:p>
          <w:p>
            <w:pPr>
              <w:snapToGrid w:val="0"/>
              <w:spacing w:line="240" w:lineRule="auto"/>
              <w:jc w:val="left"/>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2、项目实施方案内容完整，项目管理进度计划安排较详尽，质量保证、进度保证、风险管控措施较合理可行，具有一定针对性，得</w:t>
            </w:r>
            <w:r>
              <w:rPr>
                <w:rFonts w:hint="eastAsia" w:cs="仿宋"/>
                <w:color w:val="auto"/>
                <w:sz w:val="21"/>
                <w:szCs w:val="21"/>
                <w:highlight w:val="none"/>
                <w:lang w:val="en-US" w:eastAsia="zh-CN"/>
              </w:rPr>
              <w:t>9</w:t>
            </w:r>
            <w:r>
              <w:rPr>
                <w:rFonts w:hint="eastAsia" w:ascii="仿宋" w:hAnsi="仿宋" w:eastAsia="仿宋" w:cs="仿宋"/>
                <w:color w:val="auto"/>
                <w:sz w:val="21"/>
                <w:szCs w:val="21"/>
                <w:highlight w:val="none"/>
              </w:rPr>
              <w:t>分;</w:t>
            </w:r>
          </w:p>
          <w:p>
            <w:pPr>
              <w:snapToGrid w:val="0"/>
              <w:spacing w:line="240" w:lineRule="auto"/>
              <w:jc w:val="left"/>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3、项目实施方案内容有缺失项，项目管理进度计划安排简单，质量保证、进度保证、风险管控措施欠佳，设计不合理，无针对性，得</w:t>
            </w:r>
            <w:r>
              <w:rPr>
                <w:rFonts w:hint="eastAsia" w:cs="仿宋"/>
                <w:color w:val="auto"/>
                <w:sz w:val="21"/>
                <w:szCs w:val="21"/>
                <w:highlight w:val="none"/>
                <w:lang w:val="en-US" w:eastAsia="zh-CN"/>
              </w:rPr>
              <w:t>4</w:t>
            </w:r>
            <w:r>
              <w:rPr>
                <w:rFonts w:hint="eastAsia" w:ascii="仿宋" w:hAnsi="仿宋" w:eastAsia="仿宋" w:cs="仿宋"/>
                <w:color w:val="auto"/>
                <w:sz w:val="21"/>
                <w:szCs w:val="21"/>
                <w:highlight w:val="none"/>
              </w:rPr>
              <w:t>分;</w:t>
            </w:r>
          </w:p>
          <w:p>
            <w:pPr>
              <w:snapToGrid w:val="0"/>
              <w:spacing w:line="240" w:lineRule="auto"/>
              <w:jc w:val="left"/>
              <w:textAlignment w:val="baseline"/>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rPr>
              <w:t>未提供项目实施方案，不得分。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409" w:type="dxa"/>
            <w:vMerge w:val="continue"/>
            <w:noWrap w:val="0"/>
            <w:vAlign w:val="center"/>
          </w:tcPr>
          <w:p>
            <w:pPr>
              <w:snapToGrid w:val="0"/>
              <w:spacing w:line="240" w:lineRule="auto"/>
              <w:textAlignment w:val="baseline"/>
              <w:rPr>
                <w:rFonts w:hint="eastAsia" w:ascii="仿宋" w:hAnsi="仿宋" w:eastAsia="仿宋" w:cs="仿宋"/>
                <w:color w:val="auto"/>
                <w:sz w:val="21"/>
                <w:szCs w:val="21"/>
                <w:highlight w:val="none"/>
              </w:rPr>
            </w:pPr>
          </w:p>
        </w:tc>
        <w:tc>
          <w:tcPr>
            <w:tcW w:w="944" w:type="dxa"/>
            <w:vMerge w:val="continue"/>
            <w:noWrap w:val="0"/>
            <w:vAlign w:val="center"/>
          </w:tcPr>
          <w:p>
            <w:pPr>
              <w:snapToGrid w:val="0"/>
              <w:spacing w:line="240" w:lineRule="auto"/>
              <w:textAlignment w:val="baseline"/>
              <w:rPr>
                <w:rFonts w:hint="eastAsia" w:ascii="仿宋" w:hAnsi="仿宋" w:eastAsia="仿宋" w:cs="仿宋"/>
                <w:color w:val="auto"/>
                <w:sz w:val="21"/>
                <w:szCs w:val="21"/>
                <w:highlight w:val="none"/>
              </w:rPr>
            </w:pPr>
          </w:p>
        </w:tc>
        <w:tc>
          <w:tcPr>
            <w:tcW w:w="1211" w:type="dxa"/>
            <w:shd w:val="clear" w:color="auto" w:fill="auto"/>
            <w:noWrap w:val="0"/>
            <w:vAlign w:val="center"/>
          </w:tcPr>
          <w:p>
            <w:pPr>
              <w:snapToGrid w:val="0"/>
              <w:spacing w:line="240" w:lineRule="auto"/>
              <w:jc w:val="center"/>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质量保证措施</w:t>
            </w:r>
          </w:p>
          <w:p>
            <w:pPr>
              <w:snapToGrid w:val="0"/>
              <w:spacing w:line="240" w:lineRule="auto"/>
              <w:ind w:firstLine="0" w:firstLineChars="0"/>
              <w:jc w:val="center"/>
              <w:textAlignment w:val="baseline"/>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w:t>
            </w:r>
            <w:r>
              <w:rPr>
                <w:rFonts w:hint="eastAsia" w:cs="仿宋"/>
                <w:color w:val="auto"/>
                <w:sz w:val="21"/>
                <w:szCs w:val="21"/>
                <w:highlight w:val="none"/>
                <w:lang w:val="en-US" w:eastAsia="zh-CN"/>
              </w:rPr>
              <w:t>0</w:t>
            </w:r>
            <w:r>
              <w:rPr>
                <w:rFonts w:hint="eastAsia" w:ascii="仿宋" w:hAnsi="仿宋" w:eastAsia="仿宋" w:cs="仿宋"/>
                <w:color w:val="auto"/>
                <w:sz w:val="21"/>
                <w:szCs w:val="21"/>
                <w:highlight w:val="none"/>
                <w:lang w:val="en-US" w:eastAsia="zh-CN"/>
              </w:rPr>
              <w:t>分）</w:t>
            </w:r>
          </w:p>
        </w:tc>
        <w:tc>
          <w:tcPr>
            <w:tcW w:w="5864" w:type="dxa"/>
            <w:shd w:val="clear" w:color="auto" w:fill="auto"/>
            <w:noWrap w:val="0"/>
            <w:vAlign w:val="center"/>
          </w:tcPr>
          <w:p>
            <w:pPr>
              <w:snapToGrid w:val="0"/>
              <w:spacing w:line="240" w:lineRule="auto"/>
              <w:jc w:val="left"/>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投标人需提供</w:t>
            </w:r>
            <w:r>
              <w:rPr>
                <w:rFonts w:hint="eastAsia" w:ascii="仿宋" w:hAnsi="仿宋" w:eastAsia="仿宋" w:cs="仿宋"/>
                <w:color w:val="auto"/>
                <w:sz w:val="21"/>
                <w:szCs w:val="21"/>
                <w:highlight w:val="none"/>
                <w:lang w:val="en-US" w:eastAsia="zh-CN"/>
              </w:rPr>
              <w:t>本</w:t>
            </w:r>
            <w:r>
              <w:rPr>
                <w:rFonts w:hint="eastAsia" w:ascii="仿宋" w:hAnsi="仿宋" w:eastAsia="仿宋" w:cs="仿宋"/>
                <w:color w:val="auto"/>
                <w:sz w:val="21"/>
                <w:szCs w:val="21"/>
                <w:highlight w:val="none"/>
              </w:rPr>
              <w:t>项目</w:t>
            </w:r>
            <w:r>
              <w:rPr>
                <w:rFonts w:hint="eastAsia" w:ascii="仿宋" w:hAnsi="仿宋" w:eastAsia="仿宋" w:cs="仿宋"/>
                <w:color w:val="auto"/>
                <w:sz w:val="21"/>
                <w:szCs w:val="21"/>
                <w:highlight w:val="none"/>
                <w:lang w:eastAsia="zh-CN"/>
              </w:rPr>
              <w:t>质量控制内容、质量控制方法和措施等：</w:t>
            </w:r>
          </w:p>
          <w:p>
            <w:pPr>
              <w:snapToGrid w:val="0"/>
              <w:spacing w:line="240" w:lineRule="auto"/>
              <w:jc w:val="left"/>
              <w:textAlignment w:val="baseline"/>
              <w:rPr>
                <w:rFonts w:hint="default"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rPr>
              <w:t>①</w:t>
            </w:r>
            <w:r>
              <w:rPr>
                <w:rFonts w:hint="eastAsia" w:ascii="仿宋" w:hAnsi="仿宋" w:eastAsia="仿宋" w:cs="仿宋"/>
                <w:color w:val="auto"/>
                <w:sz w:val="21"/>
                <w:szCs w:val="21"/>
                <w:highlight w:val="none"/>
                <w:lang w:val="en-US" w:eastAsia="zh-CN"/>
              </w:rPr>
              <w:t>内容完整、详细，考虑周全，切实可行，符合项目采购需求要求的；</w:t>
            </w:r>
            <w:r>
              <w:rPr>
                <w:rFonts w:hint="eastAsia" w:cs="仿宋"/>
                <w:color w:val="auto"/>
                <w:sz w:val="21"/>
                <w:szCs w:val="21"/>
                <w:highlight w:val="none"/>
                <w:lang w:val="en-US" w:eastAsia="zh-CN"/>
              </w:rPr>
              <w:t>得10分。</w:t>
            </w:r>
          </w:p>
          <w:p>
            <w:pPr>
              <w:snapToGrid w:val="0"/>
              <w:spacing w:line="240" w:lineRule="auto"/>
              <w:jc w:val="left"/>
              <w:textAlignment w:val="baseline"/>
              <w:rPr>
                <w:rFonts w:hint="default"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rPr>
              <w:t>②</w:t>
            </w:r>
            <w:r>
              <w:rPr>
                <w:rFonts w:hint="eastAsia" w:ascii="仿宋" w:hAnsi="仿宋" w:eastAsia="仿宋" w:cs="仿宋"/>
                <w:color w:val="auto"/>
                <w:sz w:val="21"/>
                <w:szCs w:val="21"/>
                <w:highlight w:val="none"/>
                <w:lang w:val="en-US" w:eastAsia="zh-CN"/>
              </w:rPr>
              <w:t>内容较为完整，考虑较为周全，基本可行，基本符合项目采购需求要求的；</w:t>
            </w:r>
            <w:r>
              <w:rPr>
                <w:rFonts w:hint="eastAsia" w:cs="仿宋"/>
                <w:color w:val="auto"/>
                <w:sz w:val="21"/>
                <w:szCs w:val="21"/>
                <w:highlight w:val="none"/>
                <w:lang w:val="en-US" w:eastAsia="zh-CN"/>
              </w:rPr>
              <w:t>得6分。</w:t>
            </w:r>
          </w:p>
          <w:p>
            <w:pPr>
              <w:snapToGrid w:val="0"/>
              <w:spacing w:line="240" w:lineRule="auto"/>
              <w:jc w:val="left"/>
              <w:textAlignment w:val="baseline"/>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③</w:t>
            </w:r>
            <w:r>
              <w:rPr>
                <w:rFonts w:hint="eastAsia" w:ascii="仿宋" w:hAnsi="仿宋" w:eastAsia="仿宋" w:cs="仿宋"/>
                <w:color w:val="auto"/>
                <w:sz w:val="21"/>
                <w:szCs w:val="21"/>
                <w:highlight w:val="none"/>
                <w:lang w:val="en-US" w:eastAsia="zh-CN"/>
              </w:rPr>
              <w:t>内容完整性和详细性一般，可行性一般，与项目采购需求要求稍有偏离的；</w:t>
            </w:r>
            <w:r>
              <w:rPr>
                <w:rFonts w:hint="eastAsia" w:cs="仿宋"/>
                <w:color w:val="auto"/>
                <w:sz w:val="21"/>
                <w:szCs w:val="21"/>
                <w:highlight w:val="none"/>
                <w:lang w:val="en-US" w:eastAsia="zh-CN"/>
              </w:rPr>
              <w:t>得3分。</w:t>
            </w:r>
          </w:p>
          <w:p>
            <w:pPr>
              <w:snapToGrid w:val="0"/>
              <w:spacing w:line="240" w:lineRule="auto"/>
              <w:jc w:val="left"/>
              <w:textAlignment w:val="baseline"/>
              <w:rPr>
                <w:rFonts w:hint="default" w:ascii="仿宋" w:hAnsi="仿宋" w:eastAsia="仿宋" w:cs="仿宋"/>
                <w:color w:val="auto"/>
                <w:sz w:val="21"/>
                <w:szCs w:val="21"/>
                <w:highlight w:val="none"/>
                <w:lang w:val="en-US" w:eastAsia="zh-CN"/>
              </w:rPr>
            </w:pPr>
            <w:r>
              <w:rPr>
                <w:rFonts w:hint="eastAsia" w:cs="仿宋"/>
                <w:color w:val="auto"/>
                <w:sz w:val="21"/>
                <w:szCs w:val="21"/>
                <w:highlight w:val="none"/>
                <w:lang w:val="en-US" w:eastAsia="zh-CN"/>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409" w:type="dxa"/>
            <w:vMerge w:val="continue"/>
            <w:noWrap w:val="0"/>
            <w:vAlign w:val="center"/>
          </w:tcPr>
          <w:p>
            <w:pPr>
              <w:snapToGrid w:val="0"/>
              <w:spacing w:line="240" w:lineRule="auto"/>
              <w:textAlignment w:val="baseline"/>
              <w:rPr>
                <w:rFonts w:hint="eastAsia" w:ascii="仿宋" w:hAnsi="仿宋" w:eastAsia="仿宋" w:cs="仿宋"/>
                <w:color w:val="auto"/>
                <w:sz w:val="21"/>
                <w:szCs w:val="21"/>
                <w:highlight w:val="none"/>
              </w:rPr>
            </w:pPr>
          </w:p>
        </w:tc>
        <w:tc>
          <w:tcPr>
            <w:tcW w:w="944" w:type="dxa"/>
            <w:vMerge w:val="continue"/>
            <w:noWrap w:val="0"/>
            <w:vAlign w:val="center"/>
          </w:tcPr>
          <w:p>
            <w:pPr>
              <w:snapToGrid w:val="0"/>
              <w:spacing w:line="240" w:lineRule="auto"/>
              <w:textAlignment w:val="baseline"/>
              <w:rPr>
                <w:rFonts w:hint="eastAsia" w:ascii="仿宋" w:hAnsi="仿宋" w:eastAsia="仿宋" w:cs="仿宋"/>
                <w:color w:val="auto"/>
                <w:sz w:val="21"/>
                <w:szCs w:val="21"/>
                <w:highlight w:val="none"/>
              </w:rPr>
            </w:pPr>
          </w:p>
        </w:tc>
        <w:tc>
          <w:tcPr>
            <w:tcW w:w="1211" w:type="dxa"/>
            <w:shd w:val="clear" w:color="auto" w:fill="auto"/>
            <w:noWrap w:val="0"/>
            <w:vAlign w:val="center"/>
          </w:tcPr>
          <w:p>
            <w:pPr>
              <w:snapToGrid w:val="0"/>
              <w:spacing w:line="240" w:lineRule="auto"/>
              <w:jc w:val="center"/>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技术先进性</w:t>
            </w:r>
          </w:p>
          <w:p>
            <w:pPr>
              <w:snapToGrid w:val="0"/>
              <w:spacing w:line="240" w:lineRule="auto"/>
              <w:jc w:val="center"/>
              <w:textAlignment w:val="baseline"/>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（10分）</w:t>
            </w:r>
          </w:p>
        </w:tc>
        <w:tc>
          <w:tcPr>
            <w:tcW w:w="5864" w:type="dxa"/>
            <w:shd w:val="clear" w:color="auto" w:fill="auto"/>
            <w:noWrap w:val="0"/>
            <w:vAlign w:val="center"/>
          </w:tcPr>
          <w:p>
            <w:pPr>
              <w:snapToGrid w:val="0"/>
              <w:spacing w:line="240" w:lineRule="auto"/>
              <w:jc w:val="left"/>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投标人需根据本项目提供现有工具情况。包括但不限于问卷调查等企业基础信息搜集及填报工具、报告自动化生成工具等，需提供工具介绍及截图。</w:t>
            </w:r>
          </w:p>
          <w:p>
            <w:pPr>
              <w:snapToGrid w:val="0"/>
              <w:spacing w:line="240" w:lineRule="auto"/>
              <w:jc w:val="left"/>
              <w:textAlignment w:val="baseline"/>
              <w:rPr>
                <w:rFonts w:hint="eastAsia" w:ascii="仿宋" w:hAnsi="仿宋" w:eastAsia="仿宋" w:cs="仿宋"/>
                <w:color w:val="auto"/>
                <w:sz w:val="21"/>
                <w:szCs w:val="21"/>
                <w:highlight w:val="none"/>
              </w:rPr>
            </w:pPr>
            <w:r>
              <w:rPr>
                <w:rFonts w:hint="eastAsia" w:cs="仿宋"/>
                <w:color w:val="auto"/>
                <w:sz w:val="21"/>
                <w:szCs w:val="21"/>
                <w:highlight w:val="none"/>
                <w:lang w:val="en-US" w:eastAsia="zh-CN"/>
              </w:rPr>
              <w:t>①</w:t>
            </w:r>
            <w:r>
              <w:rPr>
                <w:rFonts w:hint="eastAsia" w:ascii="仿宋" w:hAnsi="仿宋" w:eastAsia="仿宋" w:cs="仿宋"/>
                <w:color w:val="auto"/>
                <w:sz w:val="21"/>
                <w:szCs w:val="21"/>
                <w:highlight w:val="none"/>
              </w:rPr>
              <w:t>信息搜集工具搜集内容包含企业数字化基础应用、数字化基础应用、数字化转型战略规划、数字化技术应用、数据管理与分析能力，数字化业务流程、组织架构、人才队伍建设、转型成效等内容，并且可自定义信息搜集内容；报告自动化生成工具可按照新版评测指南自动生成报告的，得10分;</w:t>
            </w:r>
          </w:p>
          <w:p>
            <w:pPr>
              <w:snapToGrid w:val="0"/>
              <w:spacing w:line="240" w:lineRule="auto"/>
              <w:jc w:val="left"/>
              <w:textAlignment w:val="baseline"/>
              <w:rPr>
                <w:rFonts w:hint="eastAsia" w:ascii="仿宋" w:hAnsi="仿宋" w:eastAsia="仿宋" w:cs="仿宋"/>
                <w:color w:val="auto"/>
                <w:sz w:val="21"/>
                <w:szCs w:val="21"/>
                <w:highlight w:val="none"/>
              </w:rPr>
            </w:pPr>
            <w:r>
              <w:rPr>
                <w:rFonts w:hint="eastAsia" w:cs="仿宋"/>
                <w:color w:val="auto"/>
                <w:sz w:val="21"/>
                <w:szCs w:val="21"/>
                <w:highlight w:val="none"/>
                <w:lang w:val="en-US" w:eastAsia="zh-CN"/>
              </w:rPr>
              <w:t>②</w:t>
            </w:r>
            <w:r>
              <w:rPr>
                <w:rFonts w:hint="eastAsia" w:ascii="仿宋" w:hAnsi="仿宋" w:eastAsia="仿宋" w:cs="仿宋"/>
                <w:color w:val="auto"/>
                <w:sz w:val="21"/>
                <w:szCs w:val="21"/>
                <w:highlight w:val="none"/>
              </w:rPr>
              <w:t>信息搜集工具包含内容有所缺失但可自定义补充的，报告自动化生成工具可按照新版评测指南自动生成报告的，得6分;</w:t>
            </w:r>
          </w:p>
          <w:p>
            <w:pPr>
              <w:snapToGrid w:val="0"/>
              <w:spacing w:line="240" w:lineRule="auto"/>
              <w:jc w:val="left"/>
              <w:textAlignment w:val="baseline"/>
              <w:rPr>
                <w:rFonts w:hint="eastAsia" w:ascii="仿宋" w:hAnsi="仿宋" w:eastAsia="仿宋" w:cs="仿宋"/>
                <w:color w:val="auto"/>
                <w:sz w:val="21"/>
                <w:szCs w:val="21"/>
                <w:highlight w:val="none"/>
              </w:rPr>
            </w:pPr>
            <w:r>
              <w:rPr>
                <w:rFonts w:hint="eastAsia" w:cs="仿宋"/>
                <w:color w:val="auto"/>
                <w:sz w:val="21"/>
                <w:szCs w:val="21"/>
                <w:highlight w:val="none"/>
                <w:lang w:val="en-US" w:eastAsia="zh-CN"/>
              </w:rPr>
              <w:t>③</w:t>
            </w:r>
            <w:r>
              <w:rPr>
                <w:rFonts w:hint="eastAsia" w:ascii="仿宋" w:hAnsi="仿宋" w:eastAsia="仿宋" w:cs="仿宋"/>
                <w:color w:val="auto"/>
                <w:sz w:val="21"/>
                <w:szCs w:val="21"/>
                <w:highlight w:val="none"/>
              </w:rPr>
              <w:t>信息搜集工具不能自定义内容的，或者报告自动化生成工具不能自动生成报告的，得3分;</w:t>
            </w:r>
          </w:p>
          <w:p>
            <w:pPr>
              <w:snapToGrid w:val="0"/>
              <w:spacing w:line="240" w:lineRule="auto"/>
              <w:jc w:val="left"/>
              <w:textAlignment w:val="baseline"/>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rPr>
              <w:t>不能提供工具的，不得分。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409" w:type="dxa"/>
            <w:vMerge w:val="continue"/>
            <w:noWrap w:val="0"/>
            <w:vAlign w:val="center"/>
          </w:tcPr>
          <w:p>
            <w:pPr>
              <w:snapToGrid w:val="0"/>
              <w:spacing w:line="240" w:lineRule="auto"/>
              <w:textAlignment w:val="baseline"/>
              <w:rPr>
                <w:rFonts w:hint="eastAsia" w:ascii="仿宋" w:hAnsi="仿宋" w:eastAsia="仿宋" w:cs="仿宋"/>
                <w:color w:val="auto"/>
                <w:sz w:val="21"/>
                <w:szCs w:val="21"/>
                <w:highlight w:val="none"/>
              </w:rPr>
            </w:pPr>
          </w:p>
        </w:tc>
        <w:tc>
          <w:tcPr>
            <w:tcW w:w="944" w:type="dxa"/>
            <w:vMerge w:val="continue"/>
            <w:noWrap w:val="0"/>
            <w:vAlign w:val="center"/>
          </w:tcPr>
          <w:p>
            <w:pPr>
              <w:snapToGrid w:val="0"/>
              <w:spacing w:line="240" w:lineRule="auto"/>
              <w:textAlignment w:val="baseline"/>
              <w:rPr>
                <w:rFonts w:hint="eastAsia" w:ascii="仿宋" w:hAnsi="仿宋" w:eastAsia="仿宋" w:cs="仿宋"/>
                <w:color w:val="auto"/>
                <w:sz w:val="21"/>
                <w:szCs w:val="21"/>
                <w:highlight w:val="none"/>
              </w:rPr>
            </w:pPr>
          </w:p>
        </w:tc>
        <w:tc>
          <w:tcPr>
            <w:tcW w:w="1211" w:type="dxa"/>
            <w:shd w:val="clear" w:color="auto" w:fill="auto"/>
            <w:noWrap w:val="0"/>
            <w:vAlign w:val="center"/>
          </w:tcPr>
          <w:p>
            <w:pPr>
              <w:pStyle w:val="49"/>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应急预案</w:t>
            </w:r>
          </w:p>
          <w:p>
            <w:pPr>
              <w:pStyle w:val="49"/>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（5分）</w:t>
            </w:r>
          </w:p>
          <w:p>
            <w:pPr>
              <w:snapToGrid w:val="0"/>
              <w:spacing w:line="240" w:lineRule="auto"/>
              <w:jc w:val="center"/>
              <w:textAlignment w:val="baseline"/>
              <w:rPr>
                <w:rFonts w:hint="eastAsia" w:ascii="仿宋" w:hAnsi="仿宋" w:eastAsia="仿宋" w:cs="仿宋"/>
                <w:color w:val="auto"/>
                <w:kern w:val="2"/>
                <w:sz w:val="21"/>
                <w:szCs w:val="21"/>
                <w:highlight w:val="none"/>
                <w:lang w:val="en-US" w:eastAsia="zh-CN" w:bidi="ar-SA"/>
              </w:rPr>
            </w:pPr>
          </w:p>
        </w:tc>
        <w:tc>
          <w:tcPr>
            <w:tcW w:w="5864" w:type="dxa"/>
            <w:shd w:val="clear" w:color="auto" w:fill="auto"/>
            <w:noWrap w:val="0"/>
            <w:vAlign w:val="top"/>
          </w:tcPr>
          <w:p>
            <w:pPr>
              <w:pStyle w:val="49"/>
              <w:jc w:val="both"/>
              <w:rPr>
                <w:rFonts w:hint="eastAsia" w:ascii="仿宋" w:hAnsi="仿宋" w:eastAsia="仿宋" w:cs="仿宋"/>
                <w:color w:val="auto"/>
                <w:kern w:val="2"/>
                <w:sz w:val="21"/>
                <w:szCs w:val="21"/>
                <w:highlight w:val="none"/>
                <w:lang w:val="zh-CN" w:eastAsia="zh-CN" w:bidi="ar-SA"/>
              </w:rPr>
            </w:pPr>
            <w:r>
              <w:rPr>
                <w:rFonts w:hint="eastAsia" w:ascii="仿宋" w:hAnsi="仿宋" w:eastAsia="仿宋" w:cs="仿宋"/>
                <w:color w:val="auto"/>
                <w:kern w:val="2"/>
                <w:sz w:val="21"/>
                <w:szCs w:val="21"/>
                <w:highlight w:val="none"/>
                <w:lang w:val="en-US" w:eastAsia="zh-CN" w:bidi="ar-SA"/>
              </w:rPr>
              <w:t>服务</w:t>
            </w:r>
            <w:r>
              <w:rPr>
                <w:rFonts w:hint="eastAsia" w:ascii="仿宋" w:hAnsi="仿宋" w:eastAsia="仿宋" w:cs="仿宋"/>
                <w:color w:val="auto"/>
                <w:kern w:val="2"/>
                <w:sz w:val="21"/>
                <w:szCs w:val="21"/>
                <w:highlight w:val="none"/>
                <w:lang w:val="zh-CN" w:eastAsia="zh-CN" w:bidi="ar-SA"/>
              </w:rPr>
              <w:t xml:space="preserve">过程中各环节可能涉及的突发事件应急处理预案 </w:t>
            </w:r>
          </w:p>
          <w:p>
            <w:pPr>
              <w:pStyle w:val="49"/>
              <w:jc w:val="both"/>
              <w:rPr>
                <w:rFonts w:hint="eastAsia" w:ascii="仿宋" w:hAnsi="仿宋" w:eastAsia="仿宋" w:cs="仿宋"/>
                <w:color w:val="auto"/>
                <w:kern w:val="2"/>
                <w:sz w:val="21"/>
                <w:szCs w:val="21"/>
                <w:highlight w:val="none"/>
                <w:lang w:val="zh-CN" w:eastAsia="zh-CN" w:bidi="ar-SA"/>
              </w:rPr>
            </w:pPr>
            <w:r>
              <w:rPr>
                <w:rFonts w:hint="eastAsia" w:ascii="仿宋" w:hAnsi="仿宋" w:eastAsia="仿宋" w:cs="仿宋"/>
                <w:color w:val="auto"/>
                <w:kern w:val="2"/>
                <w:sz w:val="21"/>
                <w:szCs w:val="21"/>
                <w:highlight w:val="none"/>
                <w:lang w:val="zh-CN" w:eastAsia="zh-CN" w:bidi="ar-SA"/>
              </w:rPr>
              <w:t>①方案针对性强，考虑周全，能够有效的预见可能发生的问题，并针对性提出科学合理有效的解决措施得</w:t>
            </w:r>
            <w:r>
              <w:rPr>
                <w:rFonts w:hint="eastAsia" w:ascii="仿宋" w:hAnsi="仿宋" w:eastAsia="仿宋" w:cs="仿宋"/>
                <w:color w:val="auto"/>
                <w:kern w:val="2"/>
                <w:sz w:val="21"/>
                <w:szCs w:val="21"/>
                <w:highlight w:val="none"/>
                <w:lang w:val="en-US" w:eastAsia="zh-CN" w:bidi="ar-SA"/>
              </w:rPr>
              <w:t>5</w:t>
            </w:r>
            <w:r>
              <w:rPr>
                <w:rFonts w:hint="eastAsia" w:ascii="仿宋" w:hAnsi="仿宋" w:eastAsia="仿宋" w:cs="仿宋"/>
                <w:color w:val="auto"/>
                <w:kern w:val="2"/>
                <w:sz w:val="21"/>
                <w:szCs w:val="21"/>
                <w:highlight w:val="none"/>
                <w:lang w:val="zh-CN" w:eastAsia="zh-CN" w:bidi="ar-SA"/>
              </w:rPr>
              <w:t>分；</w:t>
            </w:r>
          </w:p>
          <w:p>
            <w:pPr>
              <w:pStyle w:val="49"/>
              <w:jc w:val="both"/>
              <w:rPr>
                <w:rFonts w:hint="eastAsia" w:ascii="仿宋" w:hAnsi="仿宋" w:eastAsia="仿宋" w:cs="仿宋"/>
                <w:color w:val="auto"/>
                <w:kern w:val="2"/>
                <w:sz w:val="21"/>
                <w:szCs w:val="21"/>
                <w:highlight w:val="none"/>
                <w:lang w:val="zh-CN" w:eastAsia="zh-CN" w:bidi="ar-SA"/>
              </w:rPr>
            </w:pPr>
            <w:r>
              <w:rPr>
                <w:rFonts w:hint="eastAsia" w:ascii="仿宋" w:hAnsi="仿宋" w:eastAsia="仿宋" w:cs="仿宋"/>
                <w:color w:val="auto"/>
                <w:kern w:val="2"/>
                <w:sz w:val="21"/>
                <w:szCs w:val="21"/>
                <w:highlight w:val="none"/>
                <w:lang w:val="en-US" w:eastAsia="zh-CN" w:bidi="ar-SA"/>
              </w:rPr>
              <w:t>②</w:t>
            </w:r>
            <w:r>
              <w:rPr>
                <w:rFonts w:hint="eastAsia" w:ascii="仿宋" w:hAnsi="仿宋" w:eastAsia="仿宋" w:cs="仿宋"/>
                <w:color w:val="auto"/>
                <w:kern w:val="2"/>
                <w:sz w:val="21"/>
                <w:szCs w:val="21"/>
                <w:highlight w:val="none"/>
                <w:lang w:val="zh-CN" w:eastAsia="zh-CN" w:bidi="ar-SA"/>
              </w:rPr>
              <w:t>方案针对尚可，基本能够有效的预见可能发生的问题，提出的解决措施基本合理可行得</w:t>
            </w:r>
            <w:r>
              <w:rPr>
                <w:rFonts w:hint="eastAsia" w:ascii="仿宋" w:hAnsi="仿宋" w:eastAsia="仿宋" w:cs="仿宋"/>
                <w:color w:val="auto"/>
                <w:kern w:val="2"/>
                <w:sz w:val="21"/>
                <w:szCs w:val="21"/>
                <w:highlight w:val="none"/>
                <w:lang w:val="en-US" w:eastAsia="zh-CN" w:bidi="ar-SA"/>
              </w:rPr>
              <w:t>4</w:t>
            </w:r>
            <w:r>
              <w:rPr>
                <w:rFonts w:hint="eastAsia" w:ascii="仿宋" w:hAnsi="仿宋" w:eastAsia="仿宋" w:cs="仿宋"/>
                <w:color w:val="auto"/>
                <w:kern w:val="2"/>
                <w:sz w:val="21"/>
                <w:szCs w:val="21"/>
                <w:highlight w:val="none"/>
                <w:lang w:val="zh-CN" w:eastAsia="zh-CN" w:bidi="ar-SA"/>
              </w:rPr>
              <w:t>分；</w:t>
            </w:r>
          </w:p>
          <w:p>
            <w:pPr>
              <w:pStyle w:val="49"/>
              <w:jc w:val="both"/>
              <w:rPr>
                <w:rFonts w:hint="eastAsia" w:ascii="仿宋" w:hAnsi="仿宋" w:eastAsia="仿宋" w:cs="仿宋"/>
                <w:color w:val="auto"/>
                <w:kern w:val="2"/>
                <w:sz w:val="21"/>
                <w:szCs w:val="21"/>
                <w:highlight w:val="none"/>
                <w:lang w:val="zh-CN" w:eastAsia="zh-CN" w:bidi="ar-SA"/>
              </w:rPr>
            </w:pPr>
            <w:r>
              <w:rPr>
                <w:rFonts w:hint="eastAsia" w:ascii="仿宋" w:hAnsi="仿宋" w:eastAsia="仿宋" w:cs="仿宋"/>
                <w:color w:val="auto"/>
                <w:kern w:val="2"/>
                <w:sz w:val="21"/>
                <w:szCs w:val="21"/>
                <w:highlight w:val="none"/>
                <w:lang w:val="en-US" w:eastAsia="zh-CN" w:bidi="ar-SA"/>
              </w:rPr>
              <w:t>③</w:t>
            </w:r>
            <w:r>
              <w:rPr>
                <w:rFonts w:hint="eastAsia" w:ascii="仿宋" w:hAnsi="仿宋" w:eastAsia="仿宋" w:cs="仿宋"/>
                <w:color w:val="auto"/>
                <w:kern w:val="2"/>
                <w:sz w:val="21"/>
                <w:szCs w:val="21"/>
                <w:highlight w:val="none"/>
                <w:lang w:val="zh-CN" w:eastAsia="zh-CN" w:bidi="ar-SA"/>
              </w:rPr>
              <w:t>方案预见性不足，针对突发应急问题处理措施存在不足得</w:t>
            </w:r>
            <w:r>
              <w:rPr>
                <w:rFonts w:hint="eastAsia" w:ascii="仿宋" w:hAnsi="仿宋" w:eastAsia="仿宋" w:cs="仿宋"/>
                <w:color w:val="auto"/>
                <w:kern w:val="2"/>
                <w:sz w:val="21"/>
                <w:szCs w:val="21"/>
                <w:highlight w:val="none"/>
                <w:lang w:val="en-US" w:eastAsia="zh-CN" w:bidi="ar-SA"/>
              </w:rPr>
              <w:t>2</w:t>
            </w:r>
            <w:r>
              <w:rPr>
                <w:rFonts w:hint="eastAsia" w:ascii="仿宋" w:hAnsi="仿宋" w:eastAsia="仿宋" w:cs="仿宋"/>
                <w:color w:val="auto"/>
                <w:kern w:val="2"/>
                <w:sz w:val="21"/>
                <w:szCs w:val="21"/>
                <w:highlight w:val="none"/>
                <w:lang w:val="zh-CN" w:eastAsia="zh-CN" w:bidi="ar-SA"/>
              </w:rPr>
              <w:t>分；</w:t>
            </w:r>
          </w:p>
          <w:p>
            <w:pPr>
              <w:pStyle w:val="49"/>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zh-CN" w:eastAsia="zh-CN" w:bidi="ar-SA"/>
              </w:rPr>
              <w:t>未提供应急预案不得分。</w:t>
            </w:r>
          </w:p>
        </w:tc>
      </w:tr>
    </w:tbl>
    <w:p>
      <w:pPr>
        <w:snapToGrid w:val="0"/>
        <w:spacing w:line="240" w:lineRule="auto"/>
        <w:textAlignment w:val="baseline"/>
        <w:rPr>
          <w:rFonts w:hint="eastAsia" w:ascii="仿宋" w:hAnsi="仿宋" w:eastAsia="仿宋" w:cs="仿宋"/>
          <w:color w:val="auto"/>
          <w:sz w:val="21"/>
          <w:szCs w:val="21"/>
          <w:highlight w:val="none"/>
          <w:lang w:val="en-US" w:eastAsia="zh-CN"/>
        </w:rPr>
      </w:pPr>
    </w:p>
    <w:p>
      <w:pPr>
        <w:snapToGrid w:val="0"/>
        <w:spacing w:line="240" w:lineRule="auto"/>
        <w:textAlignment w:val="baseline"/>
        <w:rPr>
          <w:rFonts w:hint="eastAsia" w:ascii="仿宋" w:hAnsi="仿宋" w:eastAsia="仿宋" w:cs="仿宋"/>
          <w:color w:val="auto"/>
          <w:sz w:val="21"/>
          <w:szCs w:val="21"/>
          <w:highlight w:val="none"/>
          <w:lang w:val="en-US" w:eastAsia="zh-CN"/>
        </w:rPr>
      </w:pPr>
    </w:p>
    <w:p>
      <w:pPr>
        <w:tabs>
          <w:tab w:val="left" w:pos="0"/>
        </w:tabs>
        <w:spacing w:line="440" w:lineRule="exact"/>
        <w:rPr>
          <w:rFonts w:hint="eastAsia" w:ascii="仿宋" w:hAnsi="仿宋" w:eastAsia="仿宋" w:cs="仿宋"/>
          <w:b/>
          <w:sz w:val="21"/>
          <w:szCs w:val="21"/>
          <w:highlight w:val="none"/>
          <w:lang w:eastAsia="zh-CN"/>
        </w:rPr>
      </w:pPr>
      <w:r>
        <w:rPr>
          <w:rFonts w:hint="eastAsia" w:ascii="仿宋" w:hAnsi="仿宋" w:eastAsia="仿宋" w:cs="仿宋"/>
          <w:b/>
          <w:sz w:val="21"/>
          <w:szCs w:val="21"/>
          <w:highlight w:val="none"/>
        </w:rPr>
        <w:t>落实政府采购政策需满足的资格要求：</w:t>
      </w:r>
    </w:p>
    <w:p>
      <w:pPr>
        <w:tabs>
          <w:tab w:val="left" w:pos="0"/>
        </w:tabs>
        <w:spacing w:line="440" w:lineRule="exac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(1)《政府采购促进中小企业发展管理办法》（财库〔2020〕46号）；</w:t>
      </w:r>
    </w:p>
    <w:p>
      <w:pPr>
        <w:tabs>
          <w:tab w:val="left" w:pos="0"/>
        </w:tabs>
        <w:spacing w:line="440" w:lineRule="exac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(2)《关于政府采购支持监狱企业发展有关问题的通知》（财库〔2014〕68号）；</w:t>
      </w:r>
    </w:p>
    <w:p>
      <w:pPr>
        <w:tabs>
          <w:tab w:val="left" w:pos="0"/>
        </w:tabs>
        <w:spacing w:line="440" w:lineRule="exac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(3)《关于促进残疾人就业政府采购政策的通知》（财库〔2017〕141号）；</w:t>
      </w:r>
    </w:p>
    <w:p>
      <w:pPr>
        <w:tabs>
          <w:tab w:val="left" w:pos="0"/>
        </w:tabs>
        <w:spacing w:line="440" w:lineRule="exac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(4)《关于调整优化节能产品、环境标志产品政府采购执行机制的通知》（财库〔2019〕9号）等。本项目若投标人拟提供产品为“节能产品、环保标志产品”的，且提供了相关产品的认定证明的，招标人将在同等条件下优先确定其为中标单位（即项目评审采用综合评分法时；得分相等且评标价相等时优先。采用最低价评审法时；报价相等时优先。）；</w:t>
      </w:r>
    </w:p>
    <w:p>
      <w:pPr>
        <w:tabs>
          <w:tab w:val="left" w:pos="0"/>
        </w:tabs>
        <w:spacing w:line="440" w:lineRule="exac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(5)本项目按照《政府采购促进中小企业发展管理办法》要求，</w:t>
      </w:r>
      <w:r>
        <w:rPr>
          <w:rFonts w:hint="eastAsia" w:ascii="仿宋" w:hAnsi="仿宋" w:eastAsia="仿宋" w:cs="仿宋"/>
          <w:sz w:val="21"/>
          <w:szCs w:val="21"/>
          <w:highlight w:val="none"/>
          <w:lang w:val="en-US" w:eastAsia="zh-CN"/>
        </w:rPr>
        <w:t>非</w:t>
      </w:r>
      <w:r>
        <w:rPr>
          <w:rFonts w:hint="eastAsia" w:ascii="仿宋" w:hAnsi="仿宋" w:eastAsia="仿宋" w:cs="仿宋"/>
          <w:sz w:val="21"/>
          <w:szCs w:val="21"/>
          <w:highlight w:val="none"/>
        </w:rPr>
        <w:t>专门面向中小企业；</w:t>
      </w:r>
    </w:p>
    <w:p>
      <w:pPr>
        <w:tabs>
          <w:tab w:val="left" w:pos="0"/>
        </w:tabs>
        <w:spacing w:line="440" w:lineRule="exac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本项目中小企业划型所属行业标准为：</w:t>
      </w:r>
      <w:r>
        <w:rPr>
          <w:rFonts w:hint="eastAsia" w:ascii="仿宋" w:hAnsi="仿宋" w:eastAsia="仿宋" w:cs="仿宋"/>
          <w:color w:val="FF0000"/>
          <w:sz w:val="21"/>
          <w:szCs w:val="21"/>
          <w:highlight w:val="none"/>
        </w:rPr>
        <w:t>租赁和商务服务业</w:t>
      </w:r>
      <w:r>
        <w:rPr>
          <w:rFonts w:hint="eastAsia" w:ascii="仿宋" w:hAnsi="仿宋" w:eastAsia="仿宋" w:cs="仿宋"/>
          <w:sz w:val="21"/>
          <w:szCs w:val="21"/>
          <w:highlight w:val="none"/>
        </w:rPr>
        <w:t>。</w:t>
      </w:r>
    </w:p>
    <w:p>
      <w:pPr>
        <w:tabs>
          <w:tab w:val="left" w:pos="0"/>
        </w:tabs>
        <w:spacing w:line="44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小型和微型企业产品价格扣除：</w:t>
      </w:r>
    </w:p>
    <w:p>
      <w:pPr>
        <w:tabs>
          <w:tab w:val="left" w:pos="0"/>
        </w:tabs>
        <w:spacing w:line="44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rPr>
        <w:tab/>
      </w:r>
      <w:r>
        <w:rPr>
          <w:rFonts w:hint="eastAsia" w:ascii="仿宋" w:hAnsi="仿宋" w:eastAsia="仿宋" w:cs="仿宋"/>
          <w:sz w:val="21"/>
          <w:szCs w:val="21"/>
          <w:highlight w:val="none"/>
        </w:rPr>
        <w:t xml:space="preserve">投标人为中小企业（含中型、小型、微型企业）（包括成员均为中型、小型或微型企业的联合体）且投标产品/服务含中型、小型或微型企业产品/服务时，报价给予 K 1 的价格扣除（K 1 的取值为 </w:t>
      </w:r>
      <w:r>
        <w:rPr>
          <w:rFonts w:hint="eastAsia" w:ascii="仿宋" w:hAnsi="仿宋" w:eastAsia="仿宋" w:cs="仿宋"/>
          <w:sz w:val="21"/>
          <w:szCs w:val="21"/>
          <w:highlight w:val="none"/>
          <w:lang w:val="en-US" w:eastAsia="zh-CN"/>
        </w:rPr>
        <w:t>10</w:t>
      </w:r>
      <w:r>
        <w:rPr>
          <w:rFonts w:hint="eastAsia" w:ascii="仿宋" w:hAnsi="仿宋" w:eastAsia="仿宋" w:cs="仿宋"/>
          <w:sz w:val="21"/>
          <w:szCs w:val="21"/>
          <w:highlight w:val="none"/>
        </w:rPr>
        <w:t>%），即：评标价=中小型企业投标报价-中小型企业投标报价×K 1 ；</w:t>
      </w:r>
    </w:p>
    <w:p>
      <w:pPr>
        <w:tabs>
          <w:tab w:val="left" w:pos="0"/>
        </w:tabs>
        <w:spacing w:line="44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（2）</w:t>
      </w:r>
      <w:r>
        <w:rPr>
          <w:rFonts w:hint="eastAsia" w:ascii="仿宋" w:hAnsi="仿宋" w:eastAsia="仿宋" w:cs="仿宋"/>
          <w:sz w:val="21"/>
          <w:szCs w:val="21"/>
          <w:highlight w:val="none"/>
        </w:rPr>
        <w:tab/>
      </w:r>
      <w:r>
        <w:rPr>
          <w:rFonts w:hint="eastAsia" w:ascii="仿宋" w:hAnsi="仿宋" w:eastAsia="仿宋" w:cs="仿宋"/>
          <w:sz w:val="21"/>
          <w:szCs w:val="21"/>
          <w:highlight w:val="none"/>
        </w:rPr>
        <w:t>投标人为大中型企业和其他自然人、法人或者其他组织与小型、微型企业组成联合体，且联合体协议中约定小型、微型企业的协议合同金额占到联合体协议合同总金额 30%以上的，对联合体报价给予 K 2 的价格扣除（K 2 的取值为 2%），即：评标价=联合体投标报价-联合体投标报价×K 2 ；</w:t>
      </w:r>
    </w:p>
    <w:p>
      <w:pPr>
        <w:tabs>
          <w:tab w:val="left" w:pos="0"/>
        </w:tabs>
        <w:spacing w:line="44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（3）</w:t>
      </w:r>
      <w:r>
        <w:rPr>
          <w:rFonts w:hint="eastAsia" w:ascii="仿宋" w:hAnsi="仿宋" w:eastAsia="仿宋" w:cs="仿宋"/>
          <w:sz w:val="21"/>
          <w:szCs w:val="21"/>
          <w:highlight w:val="none"/>
        </w:rPr>
        <w:tab/>
      </w:r>
      <w:r>
        <w:rPr>
          <w:rFonts w:hint="eastAsia" w:ascii="仿宋" w:hAnsi="仿宋" w:eastAsia="仿宋" w:cs="仿宋"/>
          <w:sz w:val="21"/>
          <w:szCs w:val="21"/>
          <w:highlight w:val="none"/>
        </w:rPr>
        <w:t>小型、微型企业提供中型企业制造的货物的，视同为中型企业；</w:t>
      </w:r>
    </w:p>
    <w:p>
      <w:pPr>
        <w:tabs>
          <w:tab w:val="left" w:pos="0"/>
        </w:tabs>
        <w:spacing w:line="44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（4）</w:t>
      </w:r>
      <w:r>
        <w:rPr>
          <w:rFonts w:hint="eastAsia" w:ascii="仿宋" w:hAnsi="仿宋" w:eastAsia="仿宋" w:cs="仿宋"/>
          <w:sz w:val="21"/>
          <w:szCs w:val="21"/>
          <w:highlight w:val="none"/>
        </w:rPr>
        <w:tab/>
      </w:r>
      <w:r>
        <w:rPr>
          <w:rFonts w:hint="eastAsia" w:ascii="仿宋" w:hAnsi="仿宋" w:eastAsia="仿宋" w:cs="仿宋"/>
          <w:sz w:val="21"/>
          <w:szCs w:val="21"/>
          <w:highlight w:val="none"/>
        </w:rPr>
        <w:t>本条款所称中小企业（中型、小型或微型企业）应当符合以下条件： 符合《工业和信息化部、国家统计局、国家发展改革委员会、财政部关于印发中小企业划型标准规定的通知》（工信部联企业【2011】300 号）规定的对中小企业的划分标准，并且提供本企业承担的服务；</w:t>
      </w:r>
    </w:p>
    <w:p>
      <w:pPr>
        <w:tabs>
          <w:tab w:val="left" w:pos="0"/>
        </w:tabs>
        <w:spacing w:line="44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（5）</w:t>
      </w:r>
      <w:r>
        <w:rPr>
          <w:rFonts w:hint="eastAsia" w:ascii="仿宋" w:hAnsi="仿宋" w:eastAsia="仿宋" w:cs="仿宋"/>
          <w:sz w:val="21"/>
          <w:szCs w:val="21"/>
          <w:highlight w:val="none"/>
        </w:rPr>
        <w:tab/>
      </w:r>
      <w:r>
        <w:rPr>
          <w:rFonts w:hint="eastAsia" w:ascii="仿宋" w:hAnsi="仿宋" w:eastAsia="仿宋" w:cs="仿宋"/>
          <w:sz w:val="21"/>
          <w:szCs w:val="21"/>
          <w:highlight w:val="none"/>
        </w:rPr>
        <w:t>参加政府采购活动的中小企业应当提供《中小企业声明函》（见投标文件格式）；</w:t>
      </w:r>
    </w:p>
    <w:p>
      <w:pPr>
        <w:tabs>
          <w:tab w:val="left" w:pos="0"/>
        </w:tabs>
        <w:spacing w:line="44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（6）</w:t>
      </w:r>
      <w:r>
        <w:rPr>
          <w:rFonts w:hint="eastAsia" w:ascii="仿宋" w:hAnsi="仿宋" w:eastAsia="仿宋" w:cs="仿宋"/>
          <w:sz w:val="21"/>
          <w:szCs w:val="21"/>
          <w:highlight w:val="none"/>
        </w:rPr>
        <w:tab/>
      </w:r>
      <w:r>
        <w:rPr>
          <w:rFonts w:hint="eastAsia" w:ascii="仿宋" w:hAnsi="仿宋" w:eastAsia="仿宋" w:cs="仿宋"/>
          <w:sz w:val="21"/>
          <w:szCs w:val="21"/>
          <w:highlight w:val="none"/>
        </w:rPr>
        <w:t>组成联合体的大中型企业和其他自然人、法人或者其他组织，与联合体中的小型、微型企业之间不得存在投资关系；</w:t>
      </w:r>
    </w:p>
    <w:p>
      <w:pPr>
        <w:tabs>
          <w:tab w:val="left" w:pos="0"/>
        </w:tabs>
        <w:spacing w:line="44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（7）</w:t>
      </w:r>
      <w:r>
        <w:rPr>
          <w:rFonts w:hint="eastAsia" w:ascii="仿宋" w:hAnsi="仿宋" w:eastAsia="仿宋" w:cs="仿宋"/>
          <w:sz w:val="21"/>
          <w:szCs w:val="21"/>
          <w:highlight w:val="none"/>
        </w:rPr>
        <w:tab/>
      </w:r>
      <w:r>
        <w:rPr>
          <w:rFonts w:hint="eastAsia" w:ascii="仿宋" w:hAnsi="仿宋" w:eastAsia="仿宋" w:cs="仿宋"/>
          <w:sz w:val="21"/>
          <w:szCs w:val="21"/>
          <w:highlight w:val="none"/>
        </w:rPr>
        <w:t>本条款中（1）和（2）两种价格扣除规则不得同时适用。</w:t>
      </w:r>
    </w:p>
    <w:p>
      <w:pPr>
        <w:tabs>
          <w:tab w:val="left" w:pos="0"/>
        </w:tabs>
        <w:spacing w:line="44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2.2.5</w:t>
      </w:r>
      <w:r>
        <w:rPr>
          <w:rFonts w:hint="eastAsia" w:ascii="仿宋" w:hAnsi="仿宋" w:eastAsia="仿宋" w:cs="仿宋"/>
          <w:sz w:val="21"/>
          <w:szCs w:val="21"/>
          <w:highlight w:val="none"/>
        </w:rPr>
        <w:tab/>
      </w:r>
      <w:r>
        <w:rPr>
          <w:rFonts w:hint="eastAsia" w:ascii="仿宋" w:hAnsi="仿宋" w:eastAsia="仿宋" w:cs="仿宋"/>
          <w:sz w:val="21"/>
          <w:szCs w:val="21"/>
          <w:highlight w:val="none"/>
        </w:rPr>
        <w:t>节能、环保和自主创新产品：</w:t>
      </w:r>
    </w:p>
    <w:p>
      <w:pPr>
        <w:tabs>
          <w:tab w:val="left" w:pos="0"/>
        </w:tabs>
        <w:spacing w:line="44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（1）政府采购活动中，对于投标人投标纳入财政部、国家发改委发布的</w:t>
      </w:r>
    </w:p>
    <w:p>
      <w:pPr>
        <w:tabs>
          <w:tab w:val="left" w:pos="0"/>
        </w:tabs>
        <w:spacing w:line="44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《节能产品政府采购品目清单》的产品：（1）对其投标价格给予 3％的价格扣除，采购项目或者分包中既包含节能产品也包含非节能产品的，只对纳入《节能产品政府采购品目清单》的产品按其在总报价中所占的比例给予价格扣除。</w:t>
      </w:r>
    </w:p>
    <w:p>
      <w:pPr>
        <w:tabs>
          <w:tab w:val="left" w:pos="0"/>
        </w:tabs>
        <w:spacing w:line="44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（2）</w:t>
      </w:r>
      <w:r>
        <w:rPr>
          <w:rFonts w:hint="eastAsia" w:ascii="仿宋" w:hAnsi="仿宋" w:eastAsia="仿宋" w:cs="仿宋"/>
          <w:sz w:val="21"/>
          <w:szCs w:val="21"/>
          <w:highlight w:val="none"/>
        </w:rPr>
        <w:tab/>
      </w:r>
      <w:r>
        <w:rPr>
          <w:rFonts w:hint="eastAsia" w:ascii="仿宋" w:hAnsi="仿宋" w:eastAsia="仿宋" w:cs="仿宋"/>
          <w:sz w:val="21"/>
          <w:szCs w:val="21"/>
          <w:highlight w:val="none"/>
        </w:rPr>
        <w:t>对于技术评分项目，给予技术评分得分的 3％的加分。</w:t>
      </w:r>
    </w:p>
    <w:p>
      <w:pPr>
        <w:tabs>
          <w:tab w:val="left" w:pos="0"/>
        </w:tabs>
        <w:spacing w:line="44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（2）</w:t>
      </w:r>
      <w:r>
        <w:rPr>
          <w:rFonts w:hint="eastAsia" w:ascii="仿宋" w:hAnsi="仿宋" w:eastAsia="仿宋" w:cs="仿宋"/>
          <w:sz w:val="21"/>
          <w:szCs w:val="21"/>
          <w:highlight w:val="none"/>
        </w:rPr>
        <w:tab/>
      </w:r>
      <w:r>
        <w:rPr>
          <w:rFonts w:hint="eastAsia" w:ascii="仿宋" w:hAnsi="仿宋" w:eastAsia="仿宋" w:cs="仿宋"/>
          <w:sz w:val="21"/>
          <w:szCs w:val="21"/>
          <w:highlight w:val="none"/>
        </w:rPr>
        <w:t>政府采购活动中，对于投标人投标纳入财政部、生态环境部、发展改革委发布的《环境标志产品政府采购清单》《节能产品政府采购品目清单》的产品，在技术、服务等指标同等条件下，应当优先采购节能清单所列的节能产品。</w:t>
      </w:r>
    </w:p>
    <w:p>
      <w:pPr>
        <w:tabs>
          <w:tab w:val="left" w:pos="0"/>
        </w:tabs>
        <w:spacing w:line="44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（3）</w:t>
      </w:r>
      <w:r>
        <w:rPr>
          <w:rFonts w:hint="eastAsia" w:ascii="仿宋" w:hAnsi="仿宋" w:eastAsia="仿宋" w:cs="仿宋"/>
          <w:sz w:val="21"/>
          <w:szCs w:val="21"/>
          <w:highlight w:val="none"/>
        </w:rPr>
        <w:tab/>
      </w:r>
      <w:r>
        <w:rPr>
          <w:rFonts w:hint="eastAsia" w:ascii="仿宋" w:hAnsi="仿宋" w:eastAsia="仿宋" w:cs="仿宋"/>
          <w:sz w:val="21"/>
          <w:szCs w:val="21"/>
          <w:highlight w:val="none"/>
        </w:rPr>
        <w:t>采购人采购自主创新产品应当采用法律规定的采购方式，其中，达到公开招标数额标准的，应当采用公开招标方式采购。采购人采购达到公开招标数额标准以上的，经认定的自主创新技术含量高、技术规格和价格难以确定的服务项目采购，经设区的市、自治州财政部门批准，可以采用邀请招标、竞争性谈判和询价等采购方式。对于投标人投标纳入财政部公布的《政府采购自主创新产品目录》的货物或者服务的产品，按照（财库[2007]30 号）《财政部关于印发《自主创新产品政府采购评审办法》的通知》文件规定执行，应当优先购买自主创新产品。采购项目只对纳入《政府采购自主创新产品目录》的产品按上述文件的规定执行。</w:t>
      </w:r>
    </w:p>
    <w:p>
      <w:pPr>
        <w:tabs>
          <w:tab w:val="left" w:pos="0"/>
        </w:tabs>
        <w:spacing w:line="44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（3.1）公开招标：（一）、采用最低评标价法评标的项目，对自主创新产品可以在评审时对其投标价格给予 5％幅度不等的价格扣除。（二）、采用综合评分法评标的项目，对自主创新产品应当增加自主创新评审因素，并在评审时，在满足基本技术条件的前提下，对技术和价格项目按下列规则给予一定幅度的加分：（1）在价格评标项中，可以对自主创新产品给予价格评标总分值的</w:t>
      </w:r>
    </w:p>
    <w:p>
      <w:pPr>
        <w:tabs>
          <w:tab w:val="left" w:pos="0"/>
        </w:tabs>
        <w:spacing w:line="44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4％幅度不等的加分。（2）在技术评标项中，可以对自主创新产品给予技术评标总分值的 4％幅度不等的加分。</w:t>
      </w:r>
    </w:p>
    <w:p>
      <w:pPr>
        <w:tabs>
          <w:tab w:val="left" w:pos="0"/>
        </w:tabs>
        <w:spacing w:line="44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（3.2）采用竞争性谈判、询价方式采购的，应当将对产品的自主创新要求作为谈判、询价的内容。在满足服务需求、质量和服务相等的情况下，自主创新产品报价不高于一般产品当次报价的最低报价 5％的，应当确定自主创新产品供应商为成交供应商。</w:t>
      </w:r>
    </w:p>
    <w:p>
      <w:pPr>
        <w:tabs>
          <w:tab w:val="left" w:pos="0"/>
        </w:tabs>
        <w:spacing w:line="44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（4）</w:t>
      </w:r>
      <w:r>
        <w:rPr>
          <w:rFonts w:hint="eastAsia" w:ascii="仿宋" w:hAnsi="仿宋" w:eastAsia="仿宋" w:cs="仿宋"/>
          <w:sz w:val="21"/>
          <w:szCs w:val="21"/>
          <w:highlight w:val="none"/>
        </w:rPr>
        <w:tab/>
      </w:r>
      <w:r>
        <w:rPr>
          <w:rFonts w:hint="eastAsia" w:ascii="仿宋" w:hAnsi="仿宋" w:eastAsia="仿宋" w:cs="仿宋"/>
          <w:sz w:val="21"/>
          <w:szCs w:val="21"/>
          <w:highlight w:val="none"/>
        </w:rPr>
        <w:t>投标产品同时纳入《环境标志产品政府采购清单》、《节能产品政府采购品目清单》和《政府采购自主创新产品目录》的，价格扣除比例不叠加。</w:t>
      </w:r>
    </w:p>
    <w:p>
      <w:pPr>
        <w:tabs>
          <w:tab w:val="left" w:pos="0"/>
        </w:tabs>
        <w:spacing w:line="440" w:lineRule="exact"/>
        <w:rPr>
          <w:rFonts w:hint="eastAsia" w:ascii="仿宋" w:hAnsi="仿宋" w:eastAsia="仿宋" w:cs="仿宋"/>
          <w:sz w:val="21"/>
          <w:szCs w:val="21"/>
          <w:highlight w:val="none"/>
          <w:lang w:eastAsia="zh-CN"/>
        </w:rPr>
      </w:pPr>
    </w:p>
    <w:p>
      <w:pPr>
        <w:tabs>
          <w:tab w:val="left" w:pos="0"/>
        </w:tabs>
        <w:spacing w:line="440" w:lineRule="exac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联合体形式或分包形式满足政策的；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的扣除，用扣除后的价格参加评审。组成联合体或者接受分包的小微企业与联合体内其他企业、分包企业之间存在直接控股、管理关系的，不享受价格扣除优惠政策。是否允许联合体及分包详见招标公告或投标人须知。</w:t>
      </w:r>
    </w:p>
    <w:p>
      <w:pPr>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以上所列国家相关政策性文件，此处不予提供。请投标人自行查询阅读理解。相关附件声明格式后附；</w:t>
      </w:r>
    </w:p>
    <w:p>
      <w:pPr>
        <w:snapToGrid w:val="0"/>
        <w:spacing w:line="240" w:lineRule="auto"/>
        <w:textAlignment w:val="baseline"/>
        <w:rPr>
          <w:rFonts w:hint="eastAsia" w:ascii="仿宋" w:hAnsi="仿宋" w:eastAsia="仿宋" w:cs="仿宋"/>
          <w:color w:val="auto"/>
          <w:sz w:val="21"/>
          <w:szCs w:val="21"/>
          <w:highlight w:val="none"/>
          <w:lang w:val="en-US" w:eastAsia="zh-CN"/>
        </w:rPr>
      </w:pPr>
    </w:p>
    <w:p>
      <w:pPr>
        <w:snapToGrid w:val="0"/>
        <w:spacing w:line="240" w:lineRule="auto"/>
        <w:textAlignment w:val="baseline"/>
        <w:rPr>
          <w:rFonts w:hint="eastAsia" w:ascii="仿宋" w:hAnsi="仿宋" w:eastAsia="仿宋" w:cs="仿宋"/>
          <w:color w:val="auto"/>
          <w:sz w:val="21"/>
          <w:szCs w:val="21"/>
          <w:highlight w:val="none"/>
          <w:lang w:val="en-US" w:eastAsia="zh-CN"/>
        </w:rPr>
      </w:pPr>
    </w:p>
    <w:p>
      <w:pPr>
        <w:snapToGrid w:val="0"/>
        <w:spacing w:line="240" w:lineRule="auto"/>
        <w:textAlignment w:val="baseline"/>
        <w:rPr>
          <w:rFonts w:hint="eastAsia" w:ascii="仿宋" w:hAnsi="仿宋" w:eastAsia="仿宋" w:cs="仿宋"/>
          <w:color w:val="auto"/>
          <w:sz w:val="21"/>
          <w:szCs w:val="21"/>
          <w:highlight w:val="none"/>
          <w:lang w:val="en-US" w:eastAsia="zh-CN"/>
        </w:rPr>
      </w:pPr>
    </w:p>
    <w:p>
      <w:pPr>
        <w:snapToGrid w:val="0"/>
        <w:spacing w:line="240" w:lineRule="auto"/>
        <w:textAlignment w:val="baseline"/>
        <w:rPr>
          <w:rFonts w:hint="eastAsia" w:ascii="仿宋" w:hAnsi="仿宋" w:eastAsia="仿宋" w:cs="仿宋"/>
          <w:color w:val="auto"/>
          <w:sz w:val="21"/>
          <w:szCs w:val="21"/>
          <w:highlight w:val="none"/>
          <w:lang w:val="en-US" w:eastAsia="zh-CN"/>
        </w:rPr>
      </w:pPr>
    </w:p>
    <w:p>
      <w:pPr>
        <w:snapToGrid w:val="0"/>
        <w:spacing w:line="240" w:lineRule="auto"/>
        <w:textAlignment w:val="baseline"/>
        <w:rPr>
          <w:rFonts w:hint="eastAsia" w:ascii="仿宋" w:hAnsi="仿宋" w:eastAsia="仿宋" w:cs="仿宋"/>
          <w:color w:val="auto"/>
          <w:sz w:val="21"/>
          <w:szCs w:val="21"/>
          <w:highlight w:val="none"/>
          <w:lang w:val="en-US" w:eastAsia="zh-CN"/>
        </w:rPr>
      </w:pPr>
    </w:p>
    <w:p>
      <w:pPr>
        <w:snapToGrid w:val="0"/>
        <w:spacing w:line="240" w:lineRule="auto"/>
        <w:textAlignment w:val="baseline"/>
        <w:rPr>
          <w:rFonts w:hint="eastAsia" w:ascii="仿宋" w:hAnsi="仿宋" w:eastAsia="仿宋" w:cs="仿宋"/>
          <w:color w:val="auto"/>
          <w:sz w:val="21"/>
          <w:szCs w:val="21"/>
          <w:highlight w:val="none"/>
          <w:lang w:val="en-US" w:eastAsia="zh-CN"/>
        </w:rPr>
      </w:pPr>
    </w:p>
    <w:p>
      <w:pPr>
        <w:snapToGrid w:val="0"/>
        <w:spacing w:line="240" w:lineRule="auto"/>
        <w:textAlignment w:val="baseline"/>
        <w:rPr>
          <w:rFonts w:hint="eastAsia" w:ascii="仿宋" w:hAnsi="仿宋" w:eastAsia="仿宋" w:cs="仿宋"/>
          <w:color w:val="auto"/>
          <w:sz w:val="21"/>
          <w:szCs w:val="21"/>
          <w:highlight w:val="none"/>
          <w:lang w:val="en-US" w:eastAsia="zh-CN"/>
        </w:rPr>
      </w:pPr>
    </w:p>
    <w:p>
      <w:pPr>
        <w:snapToGrid w:val="0"/>
        <w:spacing w:line="240" w:lineRule="auto"/>
        <w:textAlignment w:val="baseline"/>
        <w:rPr>
          <w:rFonts w:hint="eastAsia" w:ascii="仿宋" w:hAnsi="仿宋" w:eastAsia="仿宋" w:cs="仿宋"/>
          <w:color w:val="auto"/>
          <w:sz w:val="21"/>
          <w:szCs w:val="21"/>
          <w:highlight w:val="none"/>
          <w:lang w:val="en-US" w:eastAsia="zh-CN"/>
        </w:rPr>
      </w:pPr>
    </w:p>
    <w:p>
      <w:pPr>
        <w:snapToGrid w:val="0"/>
        <w:spacing w:line="240" w:lineRule="auto"/>
        <w:textAlignment w:val="baseline"/>
        <w:rPr>
          <w:rFonts w:hint="eastAsia" w:ascii="仿宋" w:hAnsi="仿宋" w:eastAsia="仿宋" w:cs="仿宋"/>
          <w:color w:val="auto"/>
          <w:sz w:val="21"/>
          <w:szCs w:val="21"/>
          <w:highlight w:val="none"/>
          <w:lang w:val="en-US" w:eastAsia="zh-CN"/>
        </w:rPr>
      </w:pPr>
    </w:p>
    <w:p>
      <w:pPr>
        <w:snapToGrid w:val="0"/>
        <w:spacing w:line="240" w:lineRule="auto"/>
        <w:textAlignment w:val="baseline"/>
        <w:rPr>
          <w:rFonts w:hint="eastAsia" w:ascii="仿宋" w:hAnsi="仿宋" w:eastAsia="仿宋" w:cs="仿宋"/>
          <w:color w:val="auto"/>
          <w:sz w:val="21"/>
          <w:szCs w:val="21"/>
          <w:highlight w:val="none"/>
          <w:lang w:val="en-US" w:eastAsia="zh-CN"/>
        </w:rPr>
      </w:pPr>
    </w:p>
    <w:p>
      <w:pPr>
        <w:snapToGrid w:val="0"/>
        <w:spacing w:line="240" w:lineRule="auto"/>
        <w:textAlignment w:val="baseline"/>
        <w:rPr>
          <w:rFonts w:hint="eastAsia" w:ascii="仿宋" w:hAnsi="仿宋" w:eastAsia="仿宋" w:cs="仿宋"/>
          <w:color w:val="auto"/>
          <w:sz w:val="21"/>
          <w:szCs w:val="21"/>
          <w:highlight w:val="none"/>
          <w:lang w:val="en-US" w:eastAsia="zh-CN"/>
        </w:rPr>
      </w:pPr>
    </w:p>
    <w:p>
      <w:pPr>
        <w:snapToGrid w:val="0"/>
        <w:spacing w:line="240" w:lineRule="auto"/>
        <w:textAlignment w:val="baseline"/>
        <w:rPr>
          <w:rFonts w:hint="eastAsia" w:ascii="仿宋" w:hAnsi="仿宋" w:eastAsia="仿宋" w:cs="仿宋"/>
          <w:color w:val="auto"/>
          <w:sz w:val="21"/>
          <w:szCs w:val="21"/>
          <w:highlight w:val="none"/>
          <w:lang w:val="en-US" w:eastAsia="zh-CN"/>
        </w:rPr>
      </w:pPr>
    </w:p>
    <w:p>
      <w:pPr>
        <w:snapToGrid w:val="0"/>
        <w:spacing w:line="240" w:lineRule="auto"/>
        <w:textAlignment w:val="baseline"/>
        <w:rPr>
          <w:rFonts w:hint="eastAsia" w:ascii="仿宋" w:hAnsi="仿宋" w:eastAsia="仿宋" w:cs="仿宋"/>
          <w:color w:val="auto"/>
          <w:sz w:val="21"/>
          <w:szCs w:val="21"/>
          <w:highlight w:val="none"/>
          <w:lang w:val="en-US" w:eastAsia="zh-CN"/>
        </w:rPr>
      </w:pPr>
    </w:p>
    <w:p>
      <w:pPr>
        <w:spacing w:line="360" w:lineRule="auto"/>
        <w:jc w:val="center"/>
        <w:rPr>
          <w:rFonts w:hint="eastAsia" w:ascii="仿宋" w:hAnsi="仿宋" w:eastAsia="仿宋" w:cs="仿宋"/>
          <w:b/>
          <w:bCs/>
          <w:kern w:val="0"/>
          <w:sz w:val="28"/>
          <w:szCs w:val="28"/>
          <w:highlight w:val="none"/>
        </w:rPr>
      </w:pPr>
      <w:r>
        <w:rPr>
          <w:rFonts w:hint="eastAsia" w:ascii="仿宋" w:hAnsi="仿宋" w:eastAsia="仿宋" w:cs="仿宋"/>
          <w:b/>
          <w:bCs/>
          <w:kern w:val="0"/>
          <w:sz w:val="28"/>
          <w:szCs w:val="28"/>
          <w:highlight w:val="none"/>
        </w:rPr>
        <w:t>中小企业声明函（服务）</w:t>
      </w:r>
    </w:p>
    <w:p>
      <w:pPr>
        <w:spacing w:line="360" w:lineRule="auto"/>
        <w:ind w:firstLine="480" w:firstLineChars="200"/>
        <w:rPr>
          <w:rFonts w:hint="eastAsia" w:ascii="仿宋" w:hAnsi="仿宋" w:eastAsia="仿宋" w:cs="仿宋"/>
          <w:bCs/>
          <w:kern w:val="0"/>
          <w:sz w:val="24"/>
          <w:szCs w:val="24"/>
          <w:highlight w:val="none"/>
        </w:rPr>
      </w:pPr>
    </w:p>
    <w:p>
      <w:pPr>
        <w:spacing w:line="360" w:lineRule="auto"/>
        <w:ind w:firstLine="480" w:firstLineChars="20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本公司（联合体）郑重声明，根据《政府采购促进中小企业发展管理办法》（财库﹝2020﹞46 号）的规定，本公司（联合体）参加</w:t>
      </w:r>
      <w:r>
        <w:rPr>
          <w:rFonts w:hint="eastAsia" w:ascii="仿宋" w:hAnsi="仿宋" w:eastAsia="仿宋" w:cs="仿宋"/>
          <w:bCs/>
          <w:kern w:val="0"/>
          <w:sz w:val="24"/>
          <w:szCs w:val="24"/>
          <w:highlight w:val="none"/>
          <w:u w:val="single"/>
        </w:rPr>
        <w:t>（单位名称）</w:t>
      </w:r>
      <w:r>
        <w:rPr>
          <w:rFonts w:hint="eastAsia" w:ascii="仿宋" w:hAnsi="仿宋" w:eastAsia="仿宋" w:cs="仿宋"/>
          <w:bCs/>
          <w:kern w:val="0"/>
          <w:sz w:val="24"/>
          <w:szCs w:val="24"/>
          <w:highlight w:val="none"/>
        </w:rPr>
        <w:t>的</w:t>
      </w:r>
      <w:r>
        <w:rPr>
          <w:rFonts w:hint="eastAsia" w:ascii="仿宋" w:hAnsi="仿宋" w:eastAsia="仿宋" w:cs="仿宋"/>
          <w:bCs/>
          <w:kern w:val="0"/>
          <w:sz w:val="24"/>
          <w:szCs w:val="24"/>
          <w:highlight w:val="none"/>
          <w:u w:val="single"/>
        </w:rPr>
        <w:t>（项目名称）</w:t>
      </w:r>
      <w:r>
        <w:rPr>
          <w:rFonts w:hint="eastAsia" w:ascii="仿宋" w:hAnsi="仿宋" w:eastAsia="仿宋" w:cs="仿宋"/>
          <w:bCs/>
          <w:kern w:val="0"/>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rPr>
          <w:rFonts w:hint="eastAsia" w:ascii="仿宋" w:hAnsi="仿宋" w:eastAsia="仿宋" w:cs="仿宋"/>
          <w:bCs/>
          <w:kern w:val="0"/>
          <w:sz w:val="24"/>
          <w:szCs w:val="24"/>
          <w:highlight w:val="none"/>
          <w:lang w:eastAsia="zh-CN"/>
        </w:rPr>
      </w:pPr>
      <w:r>
        <w:rPr>
          <w:rFonts w:hint="eastAsia" w:ascii="仿宋" w:hAnsi="仿宋" w:eastAsia="仿宋" w:cs="仿宋"/>
          <w:bCs/>
          <w:kern w:val="0"/>
          <w:sz w:val="24"/>
          <w:szCs w:val="24"/>
          <w:highlight w:val="none"/>
        </w:rPr>
        <w:t xml:space="preserve">1. </w:t>
      </w:r>
      <w:r>
        <w:rPr>
          <w:rFonts w:hint="eastAsia" w:ascii="仿宋" w:hAnsi="仿宋" w:eastAsia="仿宋" w:cs="仿宋"/>
          <w:bCs/>
          <w:kern w:val="0"/>
          <w:sz w:val="24"/>
          <w:szCs w:val="24"/>
          <w:highlight w:val="none"/>
          <w:u w:val="single"/>
        </w:rPr>
        <w:t xml:space="preserve">（标的名称） </w:t>
      </w:r>
      <w:r>
        <w:rPr>
          <w:rFonts w:hint="eastAsia" w:ascii="仿宋" w:hAnsi="仿宋" w:eastAsia="仿宋" w:cs="仿宋"/>
          <w:bCs/>
          <w:kern w:val="0"/>
          <w:sz w:val="24"/>
          <w:szCs w:val="24"/>
          <w:highlight w:val="none"/>
        </w:rPr>
        <w:t>，属于</w:t>
      </w:r>
      <w:r>
        <w:rPr>
          <w:rFonts w:hint="eastAsia" w:ascii="仿宋" w:hAnsi="仿宋" w:eastAsia="仿宋" w:cs="仿宋"/>
          <w:bCs/>
          <w:kern w:val="0"/>
          <w:sz w:val="24"/>
          <w:szCs w:val="24"/>
          <w:highlight w:val="none"/>
          <w:u w:val="single"/>
        </w:rPr>
        <w:t>（采购文件中明确的所属行业）</w:t>
      </w:r>
      <w:r>
        <w:rPr>
          <w:rFonts w:hint="eastAsia" w:ascii="仿宋" w:hAnsi="仿宋" w:eastAsia="仿宋" w:cs="仿宋"/>
          <w:bCs/>
          <w:kern w:val="0"/>
          <w:sz w:val="24"/>
          <w:szCs w:val="24"/>
          <w:highlight w:val="none"/>
        </w:rPr>
        <w:t>；承建（承接）企业为</w:t>
      </w:r>
      <w:r>
        <w:rPr>
          <w:rFonts w:hint="eastAsia" w:ascii="仿宋" w:hAnsi="仿宋" w:eastAsia="仿宋" w:cs="仿宋"/>
          <w:bCs/>
          <w:kern w:val="0"/>
          <w:sz w:val="24"/>
          <w:szCs w:val="24"/>
          <w:highlight w:val="none"/>
          <w:u w:val="single"/>
        </w:rPr>
        <w:t>（企业名称）</w:t>
      </w:r>
      <w:r>
        <w:rPr>
          <w:rFonts w:hint="eastAsia" w:ascii="仿宋" w:hAnsi="仿宋" w:eastAsia="仿宋" w:cs="仿宋"/>
          <w:bCs/>
          <w:kern w:val="0"/>
          <w:sz w:val="24"/>
          <w:szCs w:val="24"/>
          <w:highlight w:val="none"/>
        </w:rPr>
        <w:t>，从业人员</w:t>
      </w:r>
      <w:r>
        <w:rPr>
          <w:rFonts w:hint="eastAsia" w:ascii="仿宋" w:hAnsi="仿宋" w:eastAsia="仿宋" w:cs="仿宋"/>
          <w:bCs/>
          <w:kern w:val="0"/>
          <w:sz w:val="24"/>
          <w:szCs w:val="24"/>
          <w:highlight w:val="none"/>
          <w:u w:val="single"/>
        </w:rPr>
        <w:t xml:space="preserve">    </w:t>
      </w:r>
      <w:r>
        <w:rPr>
          <w:rFonts w:hint="eastAsia" w:ascii="仿宋" w:hAnsi="仿宋" w:eastAsia="仿宋" w:cs="仿宋"/>
          <w:bCs/>
          <w:kern w:val="0"/>
          <w:sz w:val="24"/>
          <w:szCs w:val="24"/>
          <w:highlight w:val="none"/>
        </w:rPr>
        <w:t>人，营业收入为</w:t>
      </w:r>
      <w:r>
        <w:rPr>
          <w:rFonts w:hint="eastAsia" w:ascii="仿宋" w:hAnsi="仿宋" w:eastAsia="仿宋" w:cs="仿宋"/>
          <w:bCs/>
          <w:kern w:val="0"/>
          <w:sz w:val="24"/>
          <w:szCs w:val="24"/>
          <w:highlight w:val="none"/>
          <w:u w:val="single"/>
        </w:rPr>
        <w:t xml:space="preserve">    </w:t>
      </w:r>
      <w:r>
        <w:rPr>
          <w:rFonts w:hint="eastAsia" w:ascii="仿宋" w:hAnsi="仿宋" w:eastAsia="仿宋" w:cs="仿宋"/>
          <w:bCs/>
          <w:kern w:val="0"/>
          <w:sz w:val="24"/>
          <w:szCs w:val="24"/>
          <w:highlight w:val="none"/>
        </w:rPr>
        <w:t>万元，资产总额为</w:t>
      </w:r>
      <w:r>
        <w:rPr>
          <w:rFonts w:hint="eastAsia" w:ascii="仿宋" w:hAnsi="仿宋" w:eastAsia="仿宋" w:cs="仿宋"/>
          <w:bCs/>
          <w:kern w:val="0"/>
          <w:sz w:val="24"/>
          <w:szCs w:val="24"/>
          <w:highlight w:val="none"/>
          <w:u w:val="single"/>
        </w:rPr>
        <w:t xml:space="preserve">    </w:t>
      </w:r>
      <w:r>
        <w:rPr>
          <w:rFonts w:hint="eastAsia" w:ascii="仿宋" w:hAnsi="仿宋" w:eastAsia="仿宋" w:cs="仿宋"/>
          <w:bCs/>
          <w:kern w:val="0"/>
          <w:sz w:val="24"/>
          <w:szCs w:val="24"/>
          <w:highlight w:val="none"/>
        </w:rPr>
        <w:t>万元，属于</w:t>
      </w:r>
      <w:r>
        <w:rPr>
          <w:rFonts w:hint="eastAsia" w:ascii="仿宋" w:hAnsi="仿宋" w:eastAsia="仿宋" w:cs="仿宋"/>
          <w:bCs/>
          <w:kern w:val="0"/>
          <w:sz w:val="24"/>
          <w:szCs w:val="24"/>
          <w:highlight w:val="none"/>
          <w:u w:val="single"/>
        </w:rPr>
        <w:t>（中型企业、小型企业、微型企业）</w:t>
      </w:r>
      <w:r>
        <w:rPr>
          <w:rFonts w:hint="eastAsia" w:ascii="仿宋" w:hAnsi="仿宋" w:eastAsia="仿宋" w:cs="仿宋"/>
          <w:bCs/>
          <w:kern w:val="0"/>
          <w:sz w:val="24"/>
          <w:szCs w:val="24"/>
          <w:highlight w:val="none"/>
        </w:rPr>
        <w:t>；</w:t>
      </w:r>
    </w:p>
    <w:p>
      <w:pPr>
        <w:spacing w:line="360" w:lineRule="auto"/>
        <w:ind w:firstLine="480" w:firstLineChars="20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2.</w:t>
      </w:r>
      <w:r>
        <w:rPr>
          <w:rFonts w:hint="eastAsia" w:ascii="仿宋" w:hAnsi="仿宋" w:eastAsia="仿宋" w:cs="仿宋"/>
          <w:bCs/>
          <w:kern w:val="0"/>
          <w:sz w:val="24"/>
          <w:szCs w:val="24"/>
          <w:highlight w:val="none"/>
          <w:u w:val="single"/>
        </w:rPr>
        <w:t xml:space="preserve"> （标的名称） </w:t>
      </w:r>
      <w:r>
        <w:rPr>
          <w:rFonts w:hint="eastAsia" w:ascii="仿宋" w:hAnsi="仿宋" w:eastAsia="仿宋" w:cs="仿宋"/>
          <w:bCs/>
          <w:kern w:val="0"/>
          <w:sz w:val="24"/>
          <w:szCs w:val="24"/>
          <w:highlight w:val="none"/>
        </w:rPr>
        <w:t>，属于</w:t>
      </w:r>
      <w:r>
        <w:rPr>
          <w:rFonts w:hint="eastAsia" w:ascii="仿宋" w:hAnsi="仿宋" w:eastAsia="仿宋" w:cs="仿宋"/>
          <w:bCs/>
          <w:kern w:val="0"/>
          <w:sz w:val="24"/>
          <w:szCs w:val="24"/>
          <w:highlight w:val="none"/>
          <w:u w:val="single"/>
        </w:rPr>
        <w:t>（采购文件中明确的所属行业）</w:t>
      </w:r>
      <w:r>
        <w:rPr>
          <w:rFonts w:hint="eastAsia" w:ascii="仿宋" w:hAnsi="仿宋" w:eastAsia="仿宋" w:cs="仿宋"/>
          <w:bCs/>
          <w:kern w:val="0"/>
          <w:sz w:val="24"/>
          <w:szCs w:val="24"/>
          <w:highlight w:val="none"/>
        </w:rPr>
        <w:t>；承建（承接）企业为</w:t>
      </w:r>
      <w:r>
        <w:rPr>
          <w:rFonts w:hint="eastAsia" w:ascii="仿宋" w:hAnsi="仿宋" w:eastAsia="仿宋" w:cs="仿宋"/>
          <w:bCs/>
          <w:kern w:val="0"/>
          <w:sz w:val="24"/>
          <w:szCs w:val="24"/>
          <w:highlight w:val="none"/>
          <w:u w:val="single"/>
        </w:rPr>
        <w:t>（企业名称）</w:t>
      </w:r>
      <w:r>
        <w:rPr>
          <w:rFonts w:hint="eastAsia" w:ascii="仿宋" w:hAnsi="仿宋" w:eastAsia="仿宋" w:cs="仿宋"/>
          <w:bCs/>
          <w:kern w:val="0"/>
          <w:sz w:val="24"/>
          <w:szCs w:val="24"/>
          <w:highlight w:val="none"/>
        </w:rPr>
        <w:t>，从业人员</w:t>
      </w:r>
      <w:r>
        <w:rPr>
          <w:rFonts w:hint="eastAsia" w:ascii="仿宋" w:hAnsi="仿宋" w:eastAsia="仿宋" w:cs="仿宋"/>
          <w:bCs/>
          <w:kern w:val="0"/>
          <w:sz w:val="24"/>
          <w:szCs w:val="24"/>
          <w:highlight w:val="none"/>
          <w:u w:val="single"/>
        </w:rPr>
        <w:t xml:space="preserve">    </w:t>
      </w:r>
      <w:r>
        <w:rPr>
          <w:rFonts w:hint="eastAsia" w:ascii="仿宋" w:hAnsi="仿宋" w:eastAsia="仿宋" w:cs="仿宋"/>
          <w:bCs/>
          <w:kern w:val="0"/>
          <w:sz w:val="24"/>
          <w:szCs w:val="24"/>
          <w:highlight w:val="none"/>
        </w:rPr>
        <w:t>人，营业收入为</w:t>
      </w:r>
      <w:r>
        <w:rPr>
          <w:rFonts w:hint="eastAsia" w:ascii="仿宋" w:hAnsi="仿宋" w:eastAsia="仿宋" w:cs="仿宋"/>
          <w:bCs/>
          <w:kern w:val="0"/>
          <w:sz w:val="24"/>
          <w:szCs w:val="24"/>
          <w:highlight w:val="none"/>
          <w:u w:val="single"/>
        </w:rPr>
        <w:t xml:space="preserve">    </w:t>
      </w:r>
      <w:r>
        <w:rPr>
          <w:rFonts w:hint="eastAsia" w:ascii="仿宋" w:hAnsi="仿宋" w:eastAsia="仿宋" w:cs="仿宋"/>
          <w:bCs/>
          <w:kern w:val="0"/>
          <w:sz w:val="24"/>
          <w:szCs w:val="24"/>
          <w:highlight w:val="none"/>
        </w:rPr>
        <w:t>万元，资产总额为</w:t>
      </w:r>
      <w:r>
        <w:rPr>
          <w:rFonts w:hint="eastAsia" w:ascii="仿宋" w:hAnsi="仿宋" w:eastAsia="仿宋" w:cs="仿宋"/>
          <w:bCs/>
          <w:kern w:val="0"/>
          <w:sz w:val="24"/>
          <w:szCs w:val="24"/>
          <w:highlight w:val="none"/>
          <w:u w:val="single"/>
        </w:rPr>
        <w:t xml:space="preserve">    </w:t>
      </w:r>
      <w:r>
        <w:rPr>
          <w:rFonts w:hint="eastAsia" w:ascii="仿宋" w:hAnsi="仿宋" w:eastAsia="仿宋" w:cs="仿宋"/>
          <w:bCs/>
          <w:kern w:val="0"/>
          <w:sz w:val="24"/>
          <w:szCs w:val="24"/>
          <w:highlight w:val="none"/>
        </w:rPr>
        <w:t>万元，属于</w:t>
      </w:r>
      <w:r>
        <w:rPr>
          <w:rFonts w:hint="eastAsia" w:ascii="仿宋" w:hAnsi="仿宋" w:eastAsia="仿宋" w:cs="仿宋"/>
          <w:bCs/>
          <w:kern w:val="0"/>
          <w:sz w:val="24"/>
          <w:szCs w:val="24"/>
          <w:highlight w:val="none"/>
          <w:u w:val="single"/>
        </w:rPr>
        <w:t>（中型企业、小型企业、 微型企业）</w:t>
      </w:r>
      <w:r>
        <w:rPr>
          <w:rFonts w:hint="eastAsia" w:ascii="仿宋" w:hAnsi="仿宋" w:eastAsia="仿宋" w:cs="仿宋"/>
          <w:bCs/>
          <w:kern w:val="0"/>
          <w:sz w:val="24"/>
          <w:szCs w:val="24"/>
          <w:highlight w:val="none"/>
        </w:rPr>
        <w:t>；</w:t>
      </w:r>
    </w:p>
    <w:p>
      <w:pPr>
        <w:spacing w:line="360" w:lineRule="auto"/>
        <w:ind w:firstLine="480" w:firstLineChars="20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w:t>
      </w:r>
    </w:p>
    <w:p>
      <w:pPr>
        <w:spacing w:line="360" w:lineRule="auto"/>
        <w:ind w:firstLine="480" w:firstLineChars="20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以上企业， 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本企业对上述声明内容的真实性负责。如有虚假，将依法承担相应责任。</w:t>
      </w:r>
    </w:p>
    <w:p>
      <w:pPr>
        <w:spacing w:line="360" w:lineRule="auto"/>
        <w:ind w:firstLine="480" w:firstLineChars="200"/>
        <w:rPr>
          <w:rFonts w:hint="eastAsia" w:ascii="仿宋" w:hAnsi="仿宋" w:eastAsia="仿宋" w:cs="仿宋"/>
          <w:bCs/>
          <w:kern w:val="0"/>
          <w:sz w:val="24"/>
          <w:szCs w:val="24"/>
          <w:highlight w:val="none"/>
        </w:rPr>
      </w:pPr>
    </w:p>
    <w:p>
      <w:pPr>
        <w:spacing w:line="360" w:lineRule="auto"/>
        <w:ind w:firstLine="480" w:firstLineChars="20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企业名称（盖章）：</w:t>
      </w:r>
    </w:p>
    <w:p>
      <w:pPr>
        <w:spacing w:line="360" w:lineRule="auto"/>
        <w:ind w:firstLine="480" w:firstLineChars="20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日 期：</w:t>
      </w:r>
    </w:p>
    <w:p>
      <w:pPr>
        <w:tabs>
          <w:tab w:val="left" w:pos="0"/>
        </w:tabs>
        <w:spacing w:line="276" w:lineRule="auto"/>
        <w:rPr>
          <w:rFonts w:hint="eastAsia" w:ascii="仿宋" w:hAnsi="仿宋" w:eastAsia="仿宋" w:cs="仿宋"/>
          <w:sz w:val="24"/>
          <w:szCs w:val="24"/>
          <w:highlight w:val="none"/>
        </w:rPr>
      </w:pPr>
      <w:r>
        <w:rPr>
          <w:rFonts w:hint="eastAsia" w:ascii="仿宋" w:hAnsi="仿宋" w:eastAsia="仿宋" w:cs="仿宋"/>
          <w:bCs/>
          <w:kern w:val="0"/>
          <w:szCs w:val="21"/>
          <w:highlight w:val="none"/>
        </w:rPr>
        <w:t>1 从业人员、 营业收入、 资产总额填报上一年度数据， 无上一年度数据的新成立企业可不填报。</w:t>
      </w:r>
    </w:p>
    <w:p>
      <w:pPr>
        <w:tabs>
          <w:tab w:val="left" w:pos="0"/>
        </w:tabs>
        <w:spacing w:line="276" w:lineRule="auto"/>
        <w:ind w:firstLine="480"/>
        <w:rPr>
          <w:rFonts w:hint="eastAsia" w:ascii="仿宋" w:hAnsi="仿宋" w:eastAsia="仿宋" w:cs="仿宋"/>
          <w:sz w:val="24"/>
          <w:szCs w:val="24"/>
          <w:highlight w:val="none"/>
        </w:rPr>
      </w:pPr>
    </w:p>
    <w:p>
      <w:pPr>
        <w:tabs>
          <w:tab w:val="left" w:pos="0"/>
        </w:tabs>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p>
    <w:p>
      <w:pPr>
        <w:tabs>
          <w:tab w:val="left" w:pos="0"/>
        </w:tabs>
        <w:spacing w:line="360" w:lineRule="auto"/>
        <w:ind w:firstLine="48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监狱企业证明材料</w:t>
      </w:r>
    </w:p>
    <w:p>
      <w:pPr>
        <w:tabs>
          <w:tab w:val="left" w:pos="0"/>
        </w:tabs>
        <w:spacing w:line="360" w:lineRule="auto"/>
        <w:ind w:firstLine="480"/>
        <w:rPr>
          <w:rFonts w:hint="eastAsia" w:ascii="仿宋" w:hAnsi="仿宋" w:eastAsia="仿宋" w:cs="仿宋"/>
          <w:sz w:val="24"/>
          <w:szCs w:val="24"/>
          <w:highlight w:val="none"/>
        </w:rPr>
      </w:pPr>
    </w:p>
    <w:p>
      <w:pPr>
        <w:tabs>
          <w:tab w:val="left" w:pos="0"/>
        </w:tabs>
        <w:spacing w:line="360" w:lineRule="auto"/>
        <w:ind w:firstLine="480"/>
        <w:rPr>
          <w:rFonts w:hint="eastAsia" w:ascii="仿宋" w:hAnsi="仿宋" w:eastAsia="仿宋" w:cs="仿宋"/>
          <w:sz w:val="24"/>
          <w:szCs w:val="24"/>
          <w:highlight w:val="none"/>
        </w:rPr>
      </w:pPr>
    </w:p>
    <w:p>
      <w:pPr>
        <w:tabs>
          <w:tab w:val="left" w:pos="0"/>
        </w:tabs>
        <w:spacing w:line="360" w:lineRule="auto"/>
        <w:ind w:firstLine="480"/>
        <w:rPr>
          <w:rFonts w:hint="eastAsia" w:ascii="仿宋" w:hAnsi="仿宋" w:eastAsia="仿宋" w:cs="仿宋"/>
          <w:sz w:val="24"/>
          <w:szCs w:val="24"/>
          <w:highlight w:val="none"/>
        </w:rPr>
      </w:pPr>
    </w:p>
    <w:p>
      <w:pPr>
        <w:tabs>
          <w:tab w:val="left" w:pos="0"/>
        </w:tabs>
        <w:spacing w:line="360" w:lineRule="auto"/>
        <w:ind w:firstLine="480"/>
        <w:rPr>
          <w:rFonts w:hint="eastAsia" w:ascii="仿宋" w:hAnsi="仿宋" w:eastAsia="仿宋" w:cs="仿宋"/>
          <w:sz w:val="24"/>
          <w:szCs w:val="24"/>
          <w:highlight w:val="none"/>
        </w:rPr>
      </w:pPr>
    </w:p>
    <w:p>
      <w:pPr>
        <w:tabs>
          <w:tab w:val="left" w:pos="0"/>
        </w:tabs>
        <w:spacing w:line="360" w:lineRule="auto"/>
        <w:ind w:firstLine="480"/>
        <w:rPr>
          <w:rFonts w:hint="eastAsia" w:ascii="仿宋" w:hAnsi="仿宋" w:eastAsia="仿宋" w:cs="仿宋"/>
          <w:sz w:val="24"/>
          <w:szCs w:val="24"/>
          <w:highlight w:val="none"/>
        </w:rPr>
      </w:pPr>
    </w:p>
    <w:p>
      <w:pPr>
        <w:tabs>
          <w:tab w:val="left" w:pos="0"/>
        </w:tabs>
        <w:spacing w:line="360" w:lineRule="auto"/>
        <w:ind w:firstLine="480"/>
        <w:rPr>
          <w:rFonts w:hint="eastAsia" w:ascii="仿宋" w:hAnsi="仿宋" w:eastAsia="仿宋" w:cs="仿宋"/>
          <w:sz w:val="24"/>
          <w:szCs w:val="24"/>
          <w:highlight w:val="none"/>
        </w:rPr>
      </w:pPr>
    </w:p>
    <w:p>
      <w:pPr>
        <w:tabs>
          <w:tab w:val="left" w:pos="0"/>
        </w:tabs>
        <w:spacing w:line="360" w:lineRule="auto"/>
        <w:ind w:firstLine="5245"/>
        <w:rPr>
          <w:rFonts w:hint="eastAsia" w:ascii="仿宋" w:hAnsi="仿宋" w:eastAsia="仿宋" w:cs="仿宋"/>
          <w:sz w:val="24"/>
          <w:szCs w:val="24"/>
          <w:highlight w:val="none"/>
        </w:rPr>
      </w:pPr>
      <w:r>
        <w:rPr>
          <w:rFonts w:hint="eastAsia" w:ascii="仿宋" w:hAnsi="仿宋" w:eastAsia="仿宋" w:cs="仿宋"/>
          <w:sz w:val="24"/>
          <w:szCs w:val="24"/>
          <w:highlight w:val="none"/>
        </w:rPr>
        <w:t>企业名称（公章）：</w:t>
      </w:r>
    </w:p>
    <w:p>
      <w:pPr>
        <w:tabs>
          <w:tab w:val="left" w:pos="0"/>
        </w:tabs>
        <w:spacing w:line="360" w:lineRule="auto"/>
        <w:ind w:firstLine="5245"/>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p>
    <w:p>
      <w:pPr>
        <w:tabs>
          <w:tab w:val="left" w:pos="0"/>
        </w:tabs>
        <w:spacing w:line="360" w:lineRule="auto"/>
        <w:ind w:firstLine="480"/>
        <w:rPr>
          <w:rFonts w:hint="eastAsia" w:ascii="仿宋" w:hAnsi="仿宋" w:eastAsia="仿宋" w:cs="仿宋"/>
          <w:sz w:val="24"/>
          <w:szCs w:val="24"/>
          <w:highlight w:val="none"/>
        </w:rPr>
      </w:pPr>
    </w:p>
    <w:p>
      <w:pPr>
        <w:tabs>
          <w:tab w:val="left" w:pos="0"/>
        </w:tabs>
        <w:spacing w:line="360" w:lineRule="auto"/>
        <w:ind w:firstLine="480"/>
        <w:rPr>
          <w:rFonts w:hint="eastAsia" w:ascii="仿宋" w:hAnsi="仿宋" w:eastAsia="仿宋" w:cs="仿宋"/>
          <w:sz w:val="24"/>
          <w:szCs w:val="24"/>
          <w:highlight w:val="none"/>
        </w:rPr>
      </w:pPr>
    </w:p>
    <w:p>
      <w:pPr>
        <w:tabs>
          <w:tab w:val="left" w:pos="0"/>
        </w:tabs>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备注：若有，后附行政主管部门出具的证明材料原件扫描件，并在开标前将证明材料原件提交给采购代理机构收存，评标时提交磋商小组进行审查，否则不给予价格扣除。</w:t>
      </w:r>
    </w:p>
    <w:p>
      <w:pPr>
        <w:tabs>
          <w:tab w:val="left" w:pos="0"/>
        </w:tabs>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p>
    <w:p>
      <w:pPr>
        <w:tabs>
          <w:tab w:val="left" w:pos="0"/>
        </w:tabs>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残疾人福利性单位声明函</w:t>
      </w:r>
    </w:p>
    <w:p>
      <w:pPr>
        <w:tabs>
          <w:tab w:val="left" w:pos="0"/>
        </w:tabs>
        <w:spacing w:line="360" w:lineRule="auto"/>
        <w:rPr>
          <w:rFonts w:hint="eastAsia" w:ascii="仿宋" w:hAnsi="仿宋" w:eastAsia="仿宋" w:cs="仿宋"/>
          <w:sz w:val="24"/>
          <w:szCs w:val="24"/>
          <w:highlight w:val="none"/>
        </w:rPr>
      </w:pPr>
    </w:p>
    <w:p>
      <w:pPr>
        <w:tabs>
          <w:tab w:val="left" w:pos="0"/>
        </w:tabs>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本单位郑重声明，根据《财政部民政部中国残疾人联合会关于促进残疾人就业政府采购政策的通知》（财库〔2017〕 141 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tabs>
          <w:tab w:val="left" w:pos="0"/>
        </w:tabs>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本单位对上述声明的真实性负责。如有虚假，将依法承担相应责任。</w:t>
      </w:r>
    </w:p>
    <w:p>
      <w:pPr>
        <w:tabs>
          <w:tab w:val="left" w:pos="0"/>
        </w:tabs>
        <w:spacing w:line="360" w:lineRule="auto"/>
        <w:ind w:firstLine="480"/>
        <w:rPr>
          <w:rFonts w:hint="eastAsia" w:ascii="仿宋" w:hAnsi="仿宋" w:eastAsia="仿宋" w:cs="仿宋"/>
          <w:sz w:val="24"/>
          <w:szCs w:val="24"/>
          <w:highlight w:val="none"/>
        </w:rPr>
      </w:pPr>
    </w:p>
    <w:p>
      <w:pPr>
        <w:tabs>
          <w:tab w:val="left" w:pos="0"/>
        </w:tabs>
        <w:spacing w:line="360" w:lineRule="auto"/>
        <w:ind w:firstLine="480"/>
        <w:rPr>
          <w:rFonts w:hint="eastAsia" w:ascii="仿宋" w:hAnsi="仿宋" w:eastAsia="仿宋" w:cs="仿宋"/>
          <w:sz w:val="24"/>
          <w:szCs w:val="24"/>
          <w:highlight w:val="none"/>
        </w:rPr>
      </w:pPr>
    </w:p>
    <w:p>
      <w:pPr>
        <w:tabs>
          <w:tab w:val="left" w:pos="0"/>
        </w:tabs>
        <w:spacing w:line="360" w:lineRule="auto"/>
        <w:ind w:firstLine="480"/>
        <w:rPr>
          <w:rFonts w:hint="eastAsia" w:ascii="仿宋" w:hAnsi="仿宋" w:eastAsia="仿宋" w:cs="仿宋"/>
          <w:sz w:val="24"/>
          <w:szCs w:val="24"/>
          <w:highlight w:val="none"/>
        </w:rPr>
      </w:pPr>
    </w:p>
    <w:p>
      <w:pPr>
        <w:tabs>
          <w:tab w:val="left" w:pos="0"/>
        </w:tabs>
        <w:spacing w:line="360" w:lineRule="auto"/>
        <w:ind w:firstLine="5245"/>
        <w:rPr>
          <w:rFonts w:hint="eastAsia" w:ascii="仿宋" w:hAnsi="仿宋" w:eastAsia="仿宋" w:cs="仿宋"/>
          <w:sz w:val="24"/>
          <w:szCs w:val="24"/>
          <w:highlight w:val="none"/>
        </w:rPr>
      </w:pPr>
      <w:r>
        <w:rPr>
          <w:rFonts w:hint="eastAsia" w:ascii="仿宋" w:hAnsi="仿宋" w:eastAsia="仿宋" w:cs="仿宋"/>
          <w:sz w:val="24"/>
          <w:szCs w:val="24"/>
          <w:highlight w:val="none"/>
        </w:rPr>
        <w:t>企业名称（公章）：</w:t>
      </w:r>
    </w:p>
    <w:p>
      <w:pPr>
        <w:tabs>
          <w:tab w:val="left" w:pos="0"/>
        </w:tabs>
        <w:spacing w:line="360" w:lineRule="auto"/>
        <w:ind w:firstLine="5245"/>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p>
    <w:p>
      <w:pPr>
        <w:tabs>
          <w:tab w:val="left" w:pos="0"/>
        </w:tabs>
        <w:spacing w:line="360" w:lineRule="auto"/>
        <w:ind w:firstLine="480"/>
        <w:rPr>
          <w:rFonts w:hint="eastAsia" w:ascii="仿宋" w:hAnsi="仿宋" w:eastAsia="仿宋" w:cs="仿宋"/>
          <w:sz w:val="24"/>
          <w:szCs w:val="24"/>
          <w:highlight w:val="none"/>
        </w:rPr>
      </w:pPr>
    </w:p>
    <w:p>
      <w:pPr>
        <w:tabs>
          <w:tab w:val="left" w:pos="0"/>
        </w:tabs>
        <w:spacing w:line="360" w:lineRule="auto"/>
        <w:ind w:firstLine="480"/>
        <w:rPr>
          <w:rFonts w:hint="eastAsia" w:ascii="仿宋" w:hAnsi="仿宋" w:eastAsia="仿宋" w:cs="仿宋"/>
          <w:sz w:val="24"/>
          <w:szCs w:val="24"/>
          <w:highlight w:val="none"/>
        </w:rPr>
      </w:pPr>
    </w:p>
    <w:p>
      <w:pPr>
        <w:tabs>
          <w:tab w:val="left" w:pos="0"/>
        </w:tabs>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备注：若有，后附行政主管部门出具的证明材料原件扫描件，并在开标前将证明材料原件提交给采购代理机构收存，评标时提交磋商小组进行审查，否则不给予价格扣除。</w:t>
      </w:r>
    </w:p>
    <w:p>
      <w:pPr>
        <w:snapToGrid w:val="0"/>
        <w:spacing w:line="240" w:lineRule="auto"/>
        <w:textAlignment w:val="baseline"/>
        <w:rPr>
          <w:rFonts w:hint="eastAsia" w:ascii="仿宋" w:hAnsi="仿宋" w:eastAsia="仿宋" w:cs="仿宋"/>
          <w:color w:val="auto"/>
          <w:sz w:val="21"/>
          <w:szCs w:val="21"/>
          <w:highlight w:val="none"/>
          <w:lang w:val="en-US" w:eastAsia="zh-CN"/>
        </w:rPr>
      </w:pPr>
    </w:p>
    <w:p>
      <w:pPr>
        <w:snapToGrid w:val="0"/>
        <w:spacing w:line="240" w:lineRule="auto"/>
        <w:textAlignment w:val="baseline"/>
        <w:rPr>
          <w:rFonts w:hint="eastAsia" w:ascii="仿宋" w:hAnsi="仿宋" w:eastAsia="仿宋" w:cs="仿宋"/>
          <w:color w:val="auto"/>
          <w:sz w:val="21"/>
          <w:szCs w:val="21"/>
          <w:highlight w:val="none"/>
          <w:lang w:val="en-US" w:eastAsia="zh-CN"/>
        </w:rPr>
      </w:pPr>
    </w:p>
    <w:p>
      <w:pPr>
        <w:snapToGrid w:val="0"/>
        <w:spacing w:line="240" w:lineRule="auto"/>
        <w:textAlignment w:val="baseline"/>
        <w:rPr>
          <w:rFonts w:hint="eastAsia" w:ascii="仿宋" w:hAnsi="仿宋" w:eastAsia="仿宋" w:cs="仿宋"/>
          <w:color w:val="auto"/>
          <w:sz w:val="21"/>
          <w:szCs w:val="21"/>
          <w:highlight w:val="none"/>
          <w:lang w:val="en-US" w:eastAsia="zh-CN"/>
        </w:rPr>
      </w:pPr>
    </w:p>
    <w:p>
      <w:pPr>
        <w:snapToGrid w:val="0"/>
        <w:spacing w:line="240" w:lineRule="auto"/>
        <w:textAlignment w:val="baseline"/>
        <w:rPr>
          <w:rFonts w:hint="eastAsia" w:ascii="仿宋" w:hAnsi="仿宋" w:eastAsia="仿宋" w:cs="仿宋"/>
          <w:color w:val="auto"/>
          <w:sz w:val="21"/>
          <w:szCs w:val="21"/>
          <w:highlight w:val="none"/>
          <w:lang w:val="en-US" w:eastAsia="zh-CN"/>
        </w:rPr>
      </w:pPr>
    </w:p>
    <w:p>
      <w:pPr>
        <w:snapToGrid w:val="0"/>
        <w:spacing w:line="240" w:lineRule="auto"/>
        <w:textAlignment w:val="baseline"/>
        <w:rPr>
          <w:rFonts w:hint="eastAsia" w:ascii="仿宋" w:hAnsi="仿宋" w:eastAsia="仿宋" w:cs="仿宋"/>
          <w:color w:val="auto"/>
          <w:sz w:val="21"/>
          <w:szCs w:val="21"/>
          <w:highlight w:val="none"/>
          <w:lang w:val="en-US" w:eastAsia="zh-CN"/>
        </w:rPr>
      </w:pPr>
    </w:p>
    <w:p>
      <w:pPr>
        <w:snapToGrid w:val="0"/>
        <w:spacing w:line="240" w:lineRule="auto"/>
        <w:textAlignment w:val="baseline"/>
        <w:rPr>
          <w:rFonts w:hint="eastAsia" w:ascii="仿宋" w:hAnsi="仿宋" w:eastAsia="仿宋" w:cs="仿宋"/>
          <w:color w:val="auto"/>
          <w:sz w:val="21"/>
          <w:szCs w:val="21"/>
          <w:highlight w:val="none"/>
          <w:lang w:val="en-US" w:eastAsia="zh-CN"/>
        </w:rPr>
      </w:pPr>
    </w:p>
    <w:p>
      <w:pPr>
        <w:snapToGrid w:val="0"/>
        <w:spacing w:line="240" w:lineRule="auto"/>
        <w:textAlignment w:val="baseline"/>
        <w:rPr>
          <w:rFonts w:hint="eastAsia" w:ascii="仿宋" w:hAnsi="仿宋" w:eastAsia="仿宋" w:cs="仿宋"/>
          <w:color w:val="auto"/>
          <w:sz w:val="21"/>
          <w:szCs w:val="21"/>
          <w:highlight w:val="none"/>
          <w:lang w:val="en-US" w:eastAsia="zh-CN"/>
        </w:rPr>
      </w:pPr>
    </w:p>
    <w:p>
      <w:pPr>
        <w:snapToGrid w:val="0"/>
        <w:spacing w:line="240" w:lineRule="auto"/>
        <w:textAlignment w:val="baseline"/>
        <w:rPr>
          <w:rFonts w:hint="eastAsia" w:ascii="仿宋" w:hAnsi="仿宋" w:eastAsia="仿宋" w:cs="仿宋"/>
          <w:color w:val="auto"/>
          <w:sz w:val="21"/>
          <w:szCs w:val="21"/>
          <w:highlight w:val="none"/>
          <w:lang w:val="en-US" w:eastAsia="zh-CN"/>
        </w:rPr>
      </w:pPr>
    </w:p>
    <w:p>
      <w:pPr>
        <w:snapToGrid w:val="0"/>
        <w:spacing w:line="240" w:lineRule="auto"/>
        <w:textAlignment w:val="baseline"/>
        <w:rPr>
          <w:rFonts w:hint="eastAsia" w:ascii="仿宋" w:hAnsi="仿宋" w:eastAsia="仿宋" w:cs="仿宋"/>
          <w:color w:val="auto"/>
          <w:sz w:val="21"/>
          <w:szCs w:val="21"/>
          <w:highlight w:val="none"/>
          <w:lang w:val="en-US" w:eastAsia="zh-CN"/>
        </w:rPr>
      </w:pPr>
    </w:p>
    <w:p>
      <w:pPr>
        <w:snapToGrid w:val="0"/>
        <w:spacing w:line="240" w:lineRule="auto"/>
        <w:textAlignment w:val="baseline"/>
        <w:rPr>
          <w:rFonts w:hint="eastAsia" w:ascii="仿宋" w:hAnsi="仿宋" w:eastAsia="仿宋" w:cs="仿宋"/>
          <w:color w:val="auto"/>
          <w:sz w:val="21"/>
          <w:szCs w:val="21"/>
          <w:highlight w:val="none"/>
          <w:lang w:val="en-US" w:eastAsia="zh-CN"/>
        </w:rPr>
      </w:pPr>
    </w:p>
    <w:p>
      <w:pPr>
        <w:snapToGrid w:val="0"/>
        <w:spacing w:line="240" w:lineRule="auto"/>
        <w:textAlignment w:val="baseline"/>
        <w:rPr>
          <w:rFonts w:hint="eastAsia" w:ascii="仿宋" w:hAnsi="仿宋" w:eastAsia="仿宋" w:cs="仿宋"/>
          <w:color w:val="auto"/>
          <w:sz w:val="21"/>
          <w:szCs w:val="21"/>
          <w:highlight w:val="none"/>
          <w:lang w:val="en-US" w:eastAsia="zh-CN"/>
        </w:rPr>
      </w:pPr>
    </w:p>
    <w:p>
      <w:pPr>
        <w:snapToGrid w:val="0"/>
        <w:spacing w:line="240" w:lineRule="auto"/>
        <w:textAlignment w:val="baseline"/>
        <w:rPr>
          <w:rFonts w:hint="eastAsia" w:ascii="仿宋" w:hAnsi="仿宋" w:eastAsia="仿宋" w:cs="仿宋"/>
          <w:color w:val="auto"/>
          <w:sz w:val="21"/>
          <w:szCs w:val="21"/>
          <w:highlight w:val="none"/>
          <w:lang w:val="en-US" w:eastAsia="zh-CN"/>
        </w:rPr>
      </w:pPr>
    </w:p>
    <w:p>
      <w:pPr>
        <w:snapToGrid w:val="0"/>
        <w:spacing w:line="240" w:lineRule="auto"/>
        <w:textAlignment w:val="baseline"/>
        <w:rPr>
          <w:rFonts w:hint="eastAsia" w:ascii="仿宋" w:hAnsi="仿宋" w:eastAsia="仿宋" w:cs="仿宋"/>
          <w:color w:val="auto"/>
          <w:sz w:val="21"/>
          <w:szCs w:val="21"/>
          <w:highlight w:val="none"/>
          <w:lang w:val="en-US" w:eastAsia="zh-CN"/>
        </w:rPr>
      </w:pPr>
    </w:p>
    <w:p>
      <w:pPr>
        <w:snapToGrid w:val="0"/>
        <w:spacing w:line="240" w:lineRule="auto"/>
        <w:textAlignment w:val="baseline"/>
        <w:rPr>
          <w:rFonts w:hint="eastAsia" w:ascii="仿宋" w:hAnsi="仿宋" w:eastAsia="仿宋" w:cs="仿宋"/>
          <w:color w:val="auto"/>
          <w:sz w:val="21"/>
          <w:szCs w:val="21"/>
          <w:highlight w:val="none"/>
          <w:lang w:val="en-US" w:eastAsia="zh-CN"/>
        </w:rPr>
      </w:pPr>
    </w:p>
    <w:p>
      <w:pPr>
        <w:snapToGrid w:val="0"/>
        <w:spacing w:line="240" w:lineRule="auto"/>
        <w:textAlignment w:val="baseline"/>
        <w:rPr>
          <w:rFonts w:hint="eastAsia" w:ascii="仿宋" w:hAnsi="仿宋" w:eastAsia="仿宋" w:cs="仿宋"/>
          <w:color w:val="auto"/>
          <w:sz w:val="21"/>
          <w:szCs w:val="21"/>
          <w:highlight w:val="none"/>
          <w:lang w:val="en-US" w:eastAsia="zh-CN"/>
        </w:rPr>
      </w:pPr>
    </w:p>
    <w:p>
      <w:pPr>
        <w:snapToGrid w:val="0"/>
        <w:spacing w:line="240" w:lineRule="auto"/>
        <w:textAlignment w:val="baseline"/>
        <w:rPr>
          <w:rFonts w:hint="eastAsia" w:ascii="仿宋" w:hAnsi="仿宋" w:eastAsia="仿宋" w:cs="仿宋"/>
          <w:color w:val="auto"/>
          <w:sz w:val="21"/>
          <w:szCs w:val="21"/>
          <w:highlight w:val="none"/>
          <w:lang w:val="en-US" w:eastAsia="zh-CN"/>
        </w:rPr>
      </w:pPr>
    </w:p>
    <w:p>
      <w:pPr>
        <w:snapToGrid w:val="0"/>
        <w:spacing w:line="240" w:lineRule="auto"/>
        <w:textAlignment w:val="baseline"/>
        <w:rPr>
          <w:rFonts w:hint="eastAsia" w:ascii="仿宋" w:hAnsi="仿宋" w:eastAsia="仿宋" w:cs="仿宋"/>
          <w:color w:val="auto"/>
          <w:sz w:val="21"/>
          <w:szCs w:val="21"/>
          <w:highlight w:val="none"/>
          <w:lang w:val="en-US" w:eastAsia="zh-CN"/>
        </w:rPr>
      </w:pPr>
    </w:p>
    <w:p>
      <w:pPr>
        <w:snapToGrid w:val="0"/>
        <w:spacing w:line="240" w:lineRule="auto"/>
        <w:textAlignment w:val="baseline"/>
        <w:rPr>
          <w:rFonts w:hint="eastAsia" w:ascii="仿宋" w:hAnsi="仿宋" w:eastAsia="仿宋" w:cs="仿宋"/>
          <w:color w:val="auto"/>
          <w:sz w:val="21"/>
          <w:szCs w:val="21"/>
          <w:highlight w:val="none"/>
          <w:lang w:val="en-US" w:eastAsia="zh-CN"/>
        </w:rPr>
      </w:pPr>
    </w:p>
    <w:p>
      <w:pPr>
        <w:snapToGrid w:val="0"/>
        <w:spacing w:line="240" w:lineRule="auto"/>
        <w:textAlignment w:val="baseline"/>
        <w:rPr>
          <w:rFonts w:hint="eastAsia" w:ascii="仿宋" w:hAnsi="仿宋" w:eastAsia="仿宋" w:cs="仿宋"/>
          <w:color w:val="auto"/>
          <w:sz w:val="21"/>
          <w:szCs w:val="21"/>
          <w:highlight w:val="none"/>
          <w:lang w:val="en-US" w:eastAsia="zh-CN"/>
        </w:rPr>
      </w:pPr>
    </w:p>
    <w:p>
      <w:pPr>
        <w:snapToGrid w:val="0"/>
        <w:spacing w:line="240" w:lineRule="auto"/>
        <w:textAlignment w:val="baseline"/>
        <w:rPr>
          <w:rFonts w:hint="eastAsia" w:ascii="仿宋" w:hAnsi="仿宋" w:eastAsia="仿宋" w:cs="仿宋"/>
          <w:color w:val="auto"/>
          <w:sz w:val="21"/>
          <w:szCs w:val="21"/>
          <w:highlight w:val="none"/>
          <w:lang w:val="en-US" w:eastAsia="zh-CN"/>
        </w:rPr>
      </w:pPr>
    </w:p>
    <w:p>
      <w:pPr>
        <w:tabs>
          <w:tab w:val="left" w:pos="0"/>
        </w:tabs>
        <w:spacing w:line="360" w:lineRule="auto"/>
        <w:jc w:val="center"/>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联合体协议（如有）</w:t>
      </w:r>
    </w:p>
    <w:p>
      <w:pPr>
        <w:snapToGrid w:val="0"/>
        <w:spacing w:line="240" w:lineRule="auto"/>
        <w:textAlignment w:val="baseline"/>
        <w:rPr>
          <w:rFonts w:hint="eastAsia" w:cs="仿宋"/>
          <w:color w:val="auto"/>
          <w:sz w:val="21"/>
          <w:szCs w:val="21"/>
          <w:highlight w:val="none"/>
          <w:lang w:val="en-US" w:eastAsia="zh-CN"/>
        </w:rPr>
      </w:pPr>
    </w:p>
    <w:p>
      <w:pPr>
        <w:snapToGrid w:val="0"/>
        <w:spacing w:line="240" w:lineRule="auto"/>
        <w:textAlignment w:val="baseline"/>
        <w:rPr>
          <w:rFonts w:hint="eastAsia" w:cs="仿宋"/>
          <w:color w:val="auto"/>
          <w:sz w:val="21"/>
          <w:szCs w:val="21"/>
          <w:highlight w:val="none"/>
          <w:lang w:val="en-US" w:eastAsia="zh-CN"/>
        </w:rPr>
      </w:pPr>
    </w:p>
    <w:p>
      <w:pPr>
        <w:snapToGrid w:val="0"/>
        <w:spacing w:line="240" w:lineRule="auto"/>
        <w:textAlignment w:val="baseline"/>
        <w:rPr>
          <w:rFonts w:hint="default" w:cs="仿宋"/>
          <w:color w:val="auto"/>
          <w:sz w:val="21"/>
          <w:szCs w:val="21"/>
          <w:highlight w:val="none"/>
          <w:lang w:val="en-US" w:eastAsia="zh-CN"/>
        </w:rPr>
      </w:pPr>
      <w:r>
        <w:rPr>
          <w:rFonts w:hint="eastAsia" w:cs="仿宋"/>
          <w:color w:val="auto"/>
          <w:sz w:val="21"/>
          <w:szCs w:val="21"/>
          <w:highlight w:val="none"/>
          <w:lang w:val="en-US" w:eastAsia="zh-CN"/>
        </w:rPr>
        <w:t>格式自拟</w:t>
      </w:r>
    </w:p>
    <w:sectPr>
      <w:headerReference r:id="rId8" w:type="default"/>
      <w:footerReference r:id="rId9" w:type="default"/>
      <w:type w:val="continuous"/>
      <w:pgSz w:w="11906" w:h="16838"/>
      <w:pgMar w:top="1440" w:right="1800"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2010600030101010101"/>
    <w:charset w:val="3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Arial Unicode MS">
    <w:altName w:val="仿宋"/>
    <w:panose1 w:val="020B0604020202020204"/>
    <w:charset w:val="86"/>
    <w:family w:val="roman"/>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monospace">
    <w:altName w:val="仿宋"/>
    <w:panose1 w:val="00000000000000000000"/>
    <w:charset w:val="00"/>
    <w:family w:val="auto"/>
    <w:pitch w:val="default"/>
    <w:sig w:usb0="00000000" w:usb1="00000000" w:usb2="00000000" w:usb3="00000000" w:csb0="00000000" w:csb1="00000000"/>
  </w:font>
  <w:font w:name="微软雅黑">
    <w:altName w:val="黑体"/>
    <w:panose1 w:val="020B0503020204020204"/>
    <w:charset w:val="86"/>
    <w:family w:val="auto"/>
    <w:pitch w:val="default"/>
    <w:sig w:usb0="00000000" w:usb1="00000000" w:usb2="00000016" w:usb3="00000000" w:csb0="0004001F" w:csb1="00000000"/>
  </w:font>
  <w:font w:name="Wingdings 2">
    <w:panose1 w:val="05020102010507070707"/>
    <w:charset w:val="02"/>
    <w:family w:val="auto"/>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0" w:firstLineChars="2000"/>
      <w:rPr>
        <w:rFonts w:hint="default"/>
      </w:rPr>
    </w:pPr>
    <w:r>
      <w:rPr>
        <w:rFonts w:hint="default"/>
        <w:kern w:val="0"/>
      </w:rPr>
      <w:t xml:space="preserve">                                                        </w:t>
    </w:r>
    <w:r>
      <w:rPr>
        <w:rFonts w:hint="default"/>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0" w:firstLineChars="2000"/>
      <w:rPr>
        <w:rFonts w:hint="default"/>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rFonts w:hint="default"/>
        <w:kern w:val="0"/>
      </w:rPr>
      <w:t xml:space="preserve">                                                        </w:t>
    </w:r>
    <w:r>
      <w:rPr>
        <w:rFonts w:hint="default"/>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14935" cy="131445"/>
                      </a:xfrm>
                      <a:prstGeom prst="rect">
                        <a:avLst/>
                      </a:prstGeom>
                      <a:noFill/>
                      <a:ln>
                        <a:noFill/>
                      </a:ln>
                    </wps:spPr>
                    <wps:txbx>
                      <w:txbxContent>
                        <w:p>
                          <w:pPr>
                            <w:pStyle w:val="13"/>
                          </w:pPr>
                          <w:r>
                            <w:fldChar w:fldCharType="begin"/>
                          </w:r>
                          <w:r>
                            <w:instrText xml:space="preserve"> PAGE  \* MERGEFORMAT </w:instrText>
                          </w:r>
                          <w:r>
                            <w:fldChar w:fldCharType="separate"/>
                          </w:r>
                          <w:r>
                            <w:rPr>
                              <w:rFonts w:hint="default"/>
                            </w:rPr>
                            <w:t>37</w:t>
                          </w:r>
                          <w: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EPlfknQAAAAAwEAAA8AAAAAAAAAAQAgAAAAOAAAAGRycy9kb3du&#10;cmV2LnhtbFBLAQIUABQAAAAIAIdO4kDOPwjkuAEAAFADAAAOAAAAAAAAAAEAIAAAADUBAABkcnMv&#10;ZTJvRG9jLnhtbFBLBQYAAAAABgAGAFkBAABfBQ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rPr>
                        <w:rFonts w:hint="default"/>
                      </w:rPr>
                      <w:t>37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rPr>
        <w:rFonts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1144A8"/>
    <w:multiLevelType w:val="multilevel"/>
    <w:tmpl w:val="A81144A8"/>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BA71BB4B"/>
    <w:multiLevelType w:val="singleLevel"/>
    <w:tmpl w:val="BA71BB4B"/>
    <w:lvl w:ilvl="0" w:tentative="0">
      <w:start w:val="1"/>
      <w:numFmt w:val="decimal"/>
      <w:lvlText w:val="(%1)"/>
      <w:lvlJc w:val="left"/>
      <w:pPr>
        <w:tabs>
          <w:tab w:val="left" w:pos="0"/>
        </w:tabs>
        <w:ind w:left="425" w:hanging="425"/>
      </w:pPr>
      <w:rPr>
        <w:rFonts w:hint="default"/>
      </w:rPr>
    </w:lvl>
  </w:abstractNum>
  <w:abstractNum w:abstractNumId="2">
    <w:nsid w:val="CB953798"/>
    <w:multiLevelType w:val="singleLevel"/>
    <w:tmpl w:val="CB953798"/>
    <w:lvl w:ilvl="0" w:tentative="0">
      <w:start w:val="21"/>
      <w:numFmt w:val="decimal"/>
      <w:suff w:val="space"/>
      <w:lvlText w:val="%1."/>
      <w:lvlJc w:val="left"/>
    </w:lvl>
  </w:abstractNum>
  <w:abstractNum w:abstractNumId="3">
    <w:nsid w:val="DC2D0C16"/>
    <w:multiLevelType w:val="singleLevel"/>
    <w:tmpl w:val="DC2D0C16"/>
    <w:lvl w:ilvl="0" w:tentative="0">
      <w:start w:val="1"/>
      <w:numFmt w:val="decimal"/>
      <w:suff w:val="nothing"/>
      <w:lvlText w:val="%1．"/>
      <w:lvlJc w:val="left"/>
    </w:lvl>
  </w:abstractNum>
  <w:abstractNum w:abstractNumId="4">
    <w:nsid w:val="E8D3984B"/>
    <w:multiLevelType w:val="singleLevel"/>
    <w:tmpl w:val="E8D3984B"/>
    <w:lvl w:ilvl="0" w:tentative="0">
      <w:start w:val="1"/>
      <w:numFmt w:val="chineseCounting"/>
      <w:suff w:val="nothing"/>
      <w:lvlText w:val="%1、"/>
      <w:lvlJc w:val="left"/>
      <w:pPr>
        <w:tabs>
          <w:tab w:val="left" w:pos="0"/>
        </w:tabs>
        <w:ind w:left="0" w:firstLine="0"/>
      </w:pPr>
      <w:rPr>
        <w:rFonts w:hint="eastAsia"/>
      </w:rPr>
    </w:lvl>
  </w:abstractNum>
  <w:abstractNum w:abstractNumId="5">
    <w:nsid w:val="F21B5EF6"/>
    <w:multiLevelType w:val="singleLevel"/>
    <w:tmpl w:val="F21B5EF6"/>
    <w:lvl w:ilvl="0" w:tentative="0">
      <w:start w:val="1"/>
      <w:numFmt w:val="decimal"/>
      <w:suff w:val="nothing"/>
      <w:lvlText w:val="（%1）"/>
      <w:lvlJc w:val="left"/>
    </w:lvl>
  </w:abstractNum>
  <w:abstractNum w:abstractNumId="6">
    <w:nsid w:val="FA0E9661"/>
    <w:multiLevelType w:val="singleLevel"/>
    <w:tmpl w:val="FA0E9661"/>
    <w:lvl w:ilvl="0" w:tentative="0">
      <w:start w:val="1"/>
      <w:numFmt w:val="decimal"/>
      <w:lvlText w:val="%1."/>
      <w:lvlJc w:val="left"/>
      <w:pPr>
        <w:tabs>
          <w:tab w:val="left" w:pos="420"/>
        </w:tabs>
        <w:ind w:left="845" w:hanging="425"/>
      </w:pPr>
      <w:rPr>
        <w:rFonts w:hint="default"/>
      </w:rPr>
    </w:lvl>
  </w:abstractNum>
  <w:abstractNum w:abstractNumId="7">
    <w:nsid w:val="0FF8525E"/>
    <w:multiLevelType w:val="singleLevel"/>
    <w:tmpl w:val="0FF8525E"/>
    <w:lvl w:ilvl="0" w:tentative="0">
      <w:start w:val="3"/>
      <w:numFmt w:val="decimal"/>
      <w:suff w:val="nothing"/>
      <w:lvlText w:val="%1、"/>
      <w:lvlJc w:val="left"/>
    </w:lvl>
  </w:abstractNum>
  <w:abstractNum w:abstractNumId="8">
    <w:nsid w:val="222107B4"/>
    <w:multiLevelType w:val="multilevel"/>
    <w:tmpl w:val="222107B4"/>
    <w:lvl w:ilvl="0" w:tentative="0">
      <w:start w:val="1"/>
      <w:numFmt w:val="chineseCountingThousand"/>
      <w:pStyle w:val="3"/>
      <w:suff w:val="nothing"/>
      <w:lvlText w:val="%1、"/>
      <w:lvlJc w:val="left"/>
      <w:pPr>
        <w:ind w:left="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2D4DD6B"/>
    <w:multiLevelType w:val="singleLevel"/>
    <w:tmpl w:val="22D4DD6B"/>
    <w:lvl w:ilvl="0" w:tentative="0">
      <w:start w:val="1"/>
      <w:numFmt w:val="decimal"/>
      <w:suff w:val="nothing"/>
      <w:lvlText w:val="（%1）"/>
      <w:lvlJc w:val="left"/>
    </w:lvl>
  </w:abstractNum>
  <w:abstractNum w:abstractNumId="10">
    <w:nsid w:val="4F7C76B3"/>
    <w:multiLevelType w:val="singleLevel"/>
    <w:tmpl w:val="4F7C76B3"/>
    <w:lvl w:ilvl="0" w:tentative="0">
      <w:start w:val="2"/>
      <w:numFmt w:val="chineseCounting"/>
      <w:suff w:val="nothing"/>
      <w:lvlText w:val="（%1）"/>
      <w:lvlJc w:val="left"/>
      <w:rPr>
        <w:rFonts w:hint="eastAsia"/>
      </w:rPr>
    </w:lvl>
  </w:abstractNum>
  <w:abstractNum w:abstractNumId="11">
    <w:nsid w:val="6E49BC2A"/>
    <w:multiLevelType w:val="multilevel"/>
    <w:tmpl w:val="6E49BC2A"/>
    <w:lvl w:ilvl="0" w:tentative="0">
      <w:start w:val="1"/>
      <w:numFmt w:val="chineseCountingThousand"/>
      <w:pStyle w:val="46"/>
      <w:lvlText w:val="第%1章"/>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70F43A51"/>
    <w:multiLevelType w:val="singleLevel"/>
    <w:tmpl w:val="70F43A51"/>
    <w:lvl w:ilvl="0" w:tentative="0">
      <w:start w:val="1"/>
      <w:numFmt w:val="decimal"/>
      <w:suff w:val="space"/>
      <w:lvlText w:val="%1."/>
      <w:lvlJc w:val="left"/>
    </w:lvl>
  </w:abstractNum>
  <w:abstractNum w:abstractNumId="13">
    <w:nsid w:val="723F64D1"/>
    <w:multiLevelType w:val="singleLevel"/>
    <w:tmpl w:val="723F64D1"/>
    <w:lvl w:ilvl="0" w:tentative="0">
      <w:start w:val="1"/>
      <w:numFmt w:val="decimal"/>
      <w:lvlText w:val="(%1)"/>
      <w:lvlJc w:val="left"/>
      <w:pPr>
        <w:tabs>
          <w:tab w:val="left" w:pos="420"/>
        </w:tabs>
        <w:ind w:left="845" w:hanging="425"/>
      </w:pPr>
      <w:rPr>
        <w:rFonts w:hint="default"/>
      </w:rPr>
    </w:lvl>
  </w:abstractNum>
  <w:num w:numId="1">
    <w:abstractNumId w:val="8"/>
  </w:num>
  <w:num w:numId="2">
    <w:abstractNumId w:val="11"/>
  </w:num>
  <w:num w:numId="3">
    <w:abstractNumId w:val="0"/>
  </w:num>
  <w:num w:numId="4">
    <w:abstractNumId w:val="6"/>
  </w:num>
  <w:num w:numId="5">
    <w:abstractNumId w:val="13"/>
  </w:num>
  <w:num w:numId="6">
    <w:abstractNumId w:val="1"/>
  </w:num>
  <w:num w:numId="7">
    <w:abstractNumId w:val="3"/>
  </w:num>
  <w:num w:numId="8">
    <w:abstractNumId w:val="9"/>
  </w:num>
  <w:num w:numId="9">
    <w:abstractNumId w:val="5"/>
  </w:num>
  <w:num w:numId="10">
    <w:abstractNumId w:val="7"/>
  </w:num>
  <w:num w:numId="11">
    <w:abstractNumId w:val="2"/>
  </w:num>
  <w:num w:numId="12">
    <w:abstractNumId w:val="4"/>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wMjY0MjlmYjhlMDMxYWQ4ZjQ4MWE3NGFjN2M4NzYifQ=="/>
  </w:docVars>
  <w:rsids>
    <w:rsidRoot w:val="2FB71898"/>
    <w:rsid w:val="00265FEA"/>
    <w:rsid w:val="00481283"/>
    <w:rsid w:val="006E2C58"/>
    <w:rsid w:val="007B77E8"/>
    <w:rsid w:val="007E5EBA"/>
    <w:rsid w:val="00BC757B"/>
    <w:rsid w:val="00E84814"/>
    <w:rsid w:val="01121891"/>
    <w:rsid w:val="016D6AC7"/>
    <w:rsid w:val="017D1F02"/>
    <w:rsid w:val="018B248D"/>
    <w:rsid w:val="018E7B86"/>
    <w:rsid w:val="01A4698D"/>
    <w:rsid w:val="01DC65FE"/>
    <w:rsid w:val="02380E83"/>
    <w:rsid w:val="02501A64"/>
    <w:rsid w:val="028916DF"/>
    <w:rsid w:val="028D7421"/>
    <w:rsid w:val="02CB7F49"/>
    <w:rsid w:val="02D768EE"/>
    <w:rsid w:val="02EE5303"/>
    <w:rsid w:val="02F70D3E"/>
    <w:rsid w:val="03516A45"/>
    <w:rsid w:val="037B4B15"/>
    <w:rsid w:val="03B12EC7"/>
    <w:rsid w:val="03D96696"/>
    <w:rsid w:val="03F82FC0"/>
    <w:rsid w:val="040550C3"/>
    <w:rsid w:val="0422003D"/>
    <w:rsid w:val="04344818"/>
    <w:rsid w:val="043F299D"/>
    <w:rsid w:val="0453738C"/>
    <w:rsid w:val="045A1DC6"/>
    <w:rsid w:val="04602913"/>
    <w:rsid w:val="046069FE"/>
    <w:rsid w:val="047E690D"/>
    <w:rsid w:val="04974587"/>
    <w:rsid w:val="04B769D7"/>
    <w:rsid w:val="04BB2016"/>
    <w:rsid w:val="04C81581"/>
    <w:rsid w:val="05031C1C"/>
    <w:rsid w:val="0508107A"/>
    <w:rsid w:val="051E4730"/>
    <w:rsid w:val="05492252"/>
    <w:rsid w:val="05553469"/>
    <w:rsid w:val="05646EE5"/>
    <w:rsid w:val="05810D93"/>
    <w:rsid w:val="060043AE"/>
    <w:rsid w:val="066C559F"/>
    <w:rsid w:val="068C4FEE"/>
    <w:rsid w:val="06C7385B"/>
    <w:rsid w:val="06F2533E"/>
    <w:rsid w:val="06F36E52"/>
    <w:rsid w:val="07101279"/>
    <w:rsid w:val="07635520"/>
    <w:rsid w:val="076B1CFB"/>
    <w:rsid w:val="07707311"/>
    <w:rsid w:val="07BE53C7"/>
    <w:rsid w:val="07F27D26"/>
    <w:rsid w:val="081415B7"/>
    <w:rsid w:val="08460192"/>
    <w:rsid w:val="085E53BC"/>
    <w:rsid w:val="08897181"/>
    <w:rsid w:val="088A61B1"/>
    <w:rsid w:val="08AB6853"/>
    <w:rsid w:val="08D5567E"/>
    <w:rsid w:val="08F1713F"/>
    <w:rsid w:val="0929337E"/>
    <w:rsid w:val="092B4563"/>
    <w:rsid w:val="092D54BA"/>
    <w:rsid w:val="09945539"/>
    <w:rsid w:val="09CA7455"/>
    <w:rsid w:val="09E46037"/>
    <w:rsid w:val="09F14739"/>
    <w:rsid w:val="0A0655BF"/>
    <w:rsid w:val="0A2F0219"/>
    <w:rsid w:val="0A39280F"/>
    <w:rsid w:val="0A7916DA"/>
    <w:rsid w:val="0A9E290F"/>
    <w:rsid w:val="0AC0160E"/>
    <w:rsid w:val="0B0110D7"/>
    <w:rsid w:val="0B291CB1"/>
    <w:rsid w:val="0B460AB5"/>
    <w:rsid w:val="0B705B32"/>
    <w:rsid w:val="0B84338B"/>
    <w:rsid w:val="0B966CA4"/>
    <w:rsid w:val="0BBE689D"/>
    <w:rsid w:val="0BED0F30"/>
    <w:rsid w:val="0C2A3F33"/>
    <w:rsid w:val="0C4468AC"/>
    <w:rsid w:val="0C581519"/>
    <w:rsid w:val="0C7C16FC"/>
    <w:rsid w:val="0C7E7446"/>
    <w:rsid w:val="0C9D6863"/>
    <w:rsid w:val="0CEF255C"/>
    <w:rsid w:val="0D1E3CD2"/>
    <w:rsid w:val="0D41698F"/>
    <w:rsid w:val="0D552A3E"/>
    <w:rsid w:val="0D961154"/>
    <w:rsid w:val="0D985EB0"/>
    <w:rsid w:val="0DAD4E1B"/>
    <w:rsid w:val="0DBC505E"/>
    <w:rsid w:val="0DCE6F95"/>
    <w:rsid w:val="0DFE5677"/>
    <w:rsid w:val="0E1C7049"/>
    <w:rsid w:val="0E516BD6"/>
    <w:rsid w:val="0E653000"/>
    <w:rsid w:val="0E6A098F"/>
    <w:rsid w:val="0E6B152D"/>
    <w:rsid w:val="0EA87391"/>
    <w:rsid w:val="0F0B5D2E"/>
    <w:rsid w:val="0F1862C4"/>
    <w:rsid w:val="0F442D8D"/>
    <w:rsid w:val="0F662CE2"/>
    <w:rsid w:val="0F786D63"/>
    <w:rsid w:val="1021389E"/>
    <w:rsid w:val="103532AC"/>
    <w:rsid w:val="10392A02"/>
    <w:rsid w:val="104F3F68"/>
    <w:rsid w:val="10516984"/>
    <w:rsid w:val="105B5392"/>
    <w:rsid w:val="10796E21"/>
    <w:rsid w:val="10D73F5D"/>
    <w:rsid w:val="114D6D0B"/>
    <w:rsid w:val="115534F9"/>
    <w:rsid w:val="117B3BCF"/>
    <w:rsid w:val="11C664AC"/>
    <w:rsid w:val="11E20E0C"/>
    <w:rsid w:val="11E52F0D"/>
    <w:rsid w:val="11E76422"/>
    <w:rsid w:val="12103BCB"/>
    <w:rsid w:val="1226519C"/>
    <w:rsid w:val="122D0E8D"/>
    <w:rsid w:val="123258EF"/>
    <w:rsid w:val="124F5306"/>
    <w:rsid w:val="12785620"/>
    <w:rsid w:val="129C545E"/>
    <w:rsid w:val="12B4189F"/>
    <w:rsid w:val="13A36B8D"/>
    <w:rsid w:val="13CE1647"/>
    <w:rsid w:val="13D80CF1"/>
    <w:rsid w:val="13EE1CEA"/>
    <w:rsid w:val="14357918"/>
    <w:rsid w:val="14531B4D"/>
    <w:rsid w:val="145533A6"/>
    <w:rsid w:val="145558C5"/>
    <w:rsid w:val="147E12BF"/>
    <w:rsid w:val="147F4AAC"/>
    <w:rsid w:val="14802DE2"/>
    <w:rsid w:val="149E2FB0"/>
    <w:rsid w:val="14EA6DE2"/>
    <w:rsid w:val="15155645"/>
    <w:rsid w:val="153C6A85"/>
    <w:rsid w:val="155913E5"/>
    <w:rsid w:val="15A22D8C"/>
    <w:rsid w:val="15E74C42"/>
    <w:rsid w:val="15F03D40"/>
    <w:rsid w:val="15FF01DE"/>
    <w:rsid w:val="16001DC0"/>
    <w:rsid w:val="16043A1B"/>
    <w:rsid w:val="16076D94"/>
    <w:rsid w:val="162F6427"/>
    <w:rsid w:val="167D1103"/>
    <w:rsid w:val="16CB6435"/>
    <w:rsid w:val="16DE7DF3"/>
    <w:rsid w:val="17034227"/>
    <w:rsid w:val="17035AAC"/>
    <w:rsid w:val="17476DC5"/>
    <w:rsid w:val="17536943"/>
    <w:rsid w:val="177D2789"/>
    <w:rsid w:val="17EE4066"/>
    <w:rsid w:val="1807337A"/>
    <w:rsid w:val="183E51DD"/>
    <w:rsid w:val="183F66D6"/>
    <w:rsid w:val="1862744F"/>
    <w:rsid w:val="18773984"/>
    <w:rsid w:val="18A961DF"/>
    <w:rsid w:val="18B15ACD"/>
    <w:rsid w:val="1940240E"/>
    <w:rsid w:val="19937CC3"/>
    <w:rsid w:val="19B01DC9"/>
    <w:rsid w:val="19FF69FF"/>
    <w:rsid w:val="1A1C3315"/>
    <w:rsid w:val="1A3432C2"/>
    <w:rsid w:val="1A7343D2"/>
    <w:rsid w:val="1A7F5449"/>
    <w:rsid w:val="1A8707A2"/>
    <w:rsid w:val="1AEB593E"/>
    <w:rsid w:val="1B0A74B1"/>
    <w:rsid w:val="1B0B4F2F"/>
    <w:rsid w:val="1B3100EF"/>
    <w:rsid w:val="1B59367F"/>
    <w:rsid w:val="1B920893"/>
    <w:rsid w:val="1B9C5F55"/>
    <w:rsid w:val="1BBB776C"/>
    <w:rsid w:val="1BC17CE4"/>
    <w:rsid w:val="1BC95A7E"/>
    <w:rsid w:val="1BCB1647"/>
    <w:rsid w:val="1BE0460E"/>
    <w:rsid w:val="1BF15DCA"/>
    <w:rsid w:val="1C4C1CA3"/>
    <w:rsid w:val="1C730B7F"/>
    <w:rsid w:val="1C8A2BDE"/>
    <w:rsid w:val="1CA76EDA"/>
    <w:rsid w:val="1CE27F12"/>
    <w:rsid w:val="1D0E157D"/>
    <w:rsid w:val="1D2D5631"/>
    <w:rsid w:val="1D464944"/>
    <w:rsid w:val="1D540E0F"/>
    <w:rsid w:val="1D7C3EC2"/>
    <w:rsid w:val="1DA91A6B"/>
    <w:rsid w:val="1DB418AE"/>
    <w:rsid w:val="1DDD2891"/>
    <w:rsid w:val="1DF00599"/>
    <w:rsid w:val="1DF32929"/>
    <w:rsid w:val="1DFB55DD"/>
    <w:rsid w:val="1E39096C"/>
    <w:rsid w:val="1E5A048F"/>
    <w:rsid w:val="1E85324A"/>
    <w:rsid w:val="1E8C282B"/>
    <w:rsid w:val="1EBA7398"/>
    <w:rsid w:val="1EC43D73"/>
    <w:rsid w:val="1EDF295B"/>
    <w:rsid w:val="1EEE0272"/>
    <w:rsid w:val="1EFC2878"/>
    <w:rsid w:val="1F5A6485"/>
    <w:rsid w:val="1F9F5F34"/>
    <w:rsid w:val="1FD46E59"/>
    <w:rsid w:val="1FEC48D3"/>
    <w:rsid w:val="1FFE1506"/>
    <w:rsid w:val="203C360B"/>
    <w:rsid w:val="205B0E05"/>
    <w:rsid w:val="206210A1"/>
    <w:rsid w:val="207035BF"/>
    <w:rsid w:val="2079293B"/>
    <w:rsid w:val="20B72AF8"/>
    <w:rsid w:val="20D9162C"/>
    <w:rsid w:val="20F20A14"/>
    <w:rsid w:val="21023621"/>
    <w:rsid w:val="21221225"/>
    <w:rsid w:val="21494A03"/>
    <w:rsid w:val="217557F8"/>
    <w:rsid w:val="217B5198"/>
    <w:rsid w:val="21AA1873"/>
    <w:rsid w:val="21C67DF7"/>
    <w:rsid w:val="21D118C9"/>
    <w:rsid w:val="21D30974"/>
    <w:rsid w:val="21FC7CC7"/>
    <w:rsid w:val="22212FA6"/>
    <w:rsid w:val="227368B6"/>
    <w:rsid w:val="22877591"/>
    <w:rsid w:val="22947F00"/>
    <w:rsid w:val="22BD1205"/>
    <w:rsid w:val="22E04EF3"/>
    <w:rsid w:val="232E7BA6"/>
    <w:rsid w:val="23783011"/>
    <w:rsid w:val="23AC6A02"/>
    <w:rsid w:val="23E97DD8"/>
    <w:rsid w:val="23FC37BA"/>
    <w:rsid w:val="240B5FA0"/>
    <w:rsid w:val="248A5117"/>
    <w:rsid w:val="248E2DE1"/>
    <w:rsid w:val="24B959FC"/>
    <w:rsid w:val="253B27E5"/>
    <w:rsid w:val="255D409B"/>
    <w:rsid w:val="25B53A5B"/>
    <w:rsid w:val="25DD4AD6"/>
    <w:rsid w:val="262275D1"/>
    <w:rsid w:val="263D6290"/>
    <w:rsid w:val="26607DAF"/>
    <w:rsid w:val="26B64F55"/>
    <w:rsid w:val="26F74440"/>
    <w:rsid w:val="271E5FEA"/>
    <w:rsid w:val="27315DD3"/>
    <w:rsid w:val="275E288B"/>
    <w:rsid w:val="276B56D3"/>
    <w:rsid w:val="2771383C"/>
    <w:rsid w:val="27A40BE5"/>
    <w:rsid w:val="27AB3D22"/>
    <w:rsid w:val="27BD67A8"/>
    <w:rsid w:val="27E5331B"/>
    <w:rsid w:val="27EC0CE3"/>
    <w:rsid w:val="28090723"/>
    <w:rsid w:val="28282F4D"/>
    <w:rsid w:val="284A2EB1"/>
    <w:rsid w:val="285443B9"/>
    <w:rsid w:val="28BB337D"/>
    <w:rsid w:val="2900009D"/>
    <w:rsid w:val="29707F5B"/>
    <w:rsid w:val="29716DA9"/>
    <w:rsid w:val="29F6324E"/>
    <w:rsid w:val="2A491627"/>
    <w:rsid w:val="2A513ECF"/>
    <w:rsid w:val="2A6D3510"/>
    <w:rsid w:val="2A783C63"/>
    <w:rsid w:val="2ACA0963"/>
    <w:rsid w:val="2AE70A21"/>
    <w:rsid w:val="2AED3214"/>
    <w:rsid w:val="2B2A31B0"/>
    <w:rsid w:val="2B7470A5"/>
    <w:rsid w:val="2BDB094E"/>
    <w:rsid w:val="2C1856FE"/>
    <w:rsid w:val="2C513B81"/>
    <w:rsid w:val="2C59008F"/>
    <w:rsid w:val="2C960362"/>
    <w:rsid w:val="2CAE1A8C"/>
    <w:rsid w:val="2CBA410B"/>
    <w:rsid w:val="2CE324F5"/>
    <w:rsid w:val="2D2202DF"/>
    <w:rsid w:val="2D2D7E99"/>
    <w:rsid w:val="2D2E0C20"/>
    <w:rsid w:val="2D3E1194"/>
    <w:rsid w:val="2D6E3085"/>
    <w:rsid w:val="2D825525"/>
    <w:rsid w:val="2DEA131C"/>
    <w:rsid w:val="2E03505B"/>
    <w:rsid w:val="2E1A575D"/>
    <w:rsid w:val="2E3875B6"/>
    <w:rsid w:val="2E7438E5"/>
    <w:rsid w:val="2E936B8B"/>
    <w:rsid w:val="2EA119DB"/>
    <w:rsid w:val="2EEE0998"/>
    <w:rsid w:val="2F236894"/>
    <w:rsid w:val="2F294338"/>
    <w:rsid w:val="2F650C5A"/>
    <w:rsid w:val="2FAF45CB"/>
    <w:rsid w:val="2FB71898"/>
    <w:rsid w:val="2FE94AE6"/>
    <w:rsid w:val="305A3EEF"/>
    <w:rsid w:val="3094742E"/>
    <w:rsid w:val="30BD4AC6"/>
    <w:rsid w:val="312672A5"/>
    <w:rsid w:val="31624854"/>
    <w:rsid w:val="318779ED"/>
    <w:rsid w:val="32292413"/>
    <w:rsid w:val="322C2D57"/>
    <w:rsid w:val="322F554F"/>
    <w:rsid w:val="325B2C7D"/>
    <w:rsid w:val="325D2288"/>
    <w:rsid w:val="32680BB3"/>
    <w:rsid w:val="328C4750"/>
    <w:rsid w:val="329A6E6D"/>
    <w:rsid w:val="32A23F73"/>
    <w:rsid w:val="32C42361"/>
    <w:rsid w:val="32D305D1"/>
    <w:rsid w:val="333202A7"/>
    <w:rsid w:val="333746BC"/>
    <w:rsid w:val="33B03F3F"/>
    <w:rsid w:val="33CA3782"/>
    <w:rsid w:val="34022B77"/>
    <w:rsid w:val="34691C96"/>
    <w:rsid w:val="34C80299"/>
    <w:rsid w:val="34FA1BBB"/>
    <w:rsid w:val="3518362C"/>
    <w:rsid w:val="35B71AE4"/>
    <w:rsid w:val="35B77D36"/>
    <w:rsid w:val="35EB3E83"/>
    <w:rsid w:val="3667175C"/>
    <w:rsid w:val="36767BF1"/>
    <w:rsid w:val="36820344"/>
    <w:rsid w:val="36BF0745"/>
    <w:rsid w:val="36D260DF"/>
    <w:rsid w:val="36D87F64"/>
    <w:rsid w:val="37425D25"/>
    <w:rsid w:val="374E0505"/>
    <w:rsid w:val="37574B34"/>
    <w:rsid w:val="376C2B12"/>
    <w:rsid w:val="378C0D4E"/>
    <w:rsid w:val="37DD09A1"/>
    <w:rsid w:val="38090DB7"/>
    <w:rsid w:val="38111241"/>
    <w:rsid w:val="38156F95"/>
    <w:rsid w:val="382A5BF2"/>
    <w:rsid w:val="384E55E9"/>
    <w:rsid w:val="385E6B8E"/>
    <w:rsid w:val="38906A99"/>
    <w:rsid w:val="39106E64"/>
    <w:rsid w:val="391F631E"/>
    <w:rsid w:val="394368B9"/>
    <w:rsid w:val="39A72A32"/>
    <w:rsid w:val="39E37174"/>
    <w:rsid w:val="3A022290"/>
    <w:rsid w:val="3A0860BC"/>
    <w:rsid w:val="3AB331C1"/>
    <w:rsid w:val="3ACF78CF"/>
    <w:rsid w:val="3B0532F1"/>
    <w:rsid w:val="3B2D44E6"/>
    <w:rsid w:val="3B5E4280"/>
    <w:rsid w:val="3B9E6191"/>
    <w:rsid w:val="3BFE3EA6"/>
    <w:rsid w:val="3C3C1F52"/>
    <w:rsid w:val="3C6504EB"/>
    <w:rsid w:val="3CB60D47"/>
    <w:rsid w:val="3CC64D02"/>
    <w:rsid w:val="3CD27F98"/>
    <w:rsid w:val="3D3F6F8E"/>
    <w:rsid w:val="3D723C25"/>
    <w:rsid w:val="3D820C03"/>
    <w:rsid w:val="3D8D69A3"/>
    <w:rsid w:val="3DC254CA"/>
    <w:rsid w:val="3DDF607B"/>
    <w:rsid w:val="3E012496"/>
    <w:rsid w:val="3E015FF2"/>
    <w:rsid w:val="3E0738E2"/>
    <w:rsid w:val="3E543BED"/>
    <w:rsid w:val="3E5F0F6A"/>
    <w:rsid w:val="3EC3033B"/>
    <w:rsid w:val="3EC51715"/>
    <w:rsid w:val="3EF30AC2"/>
    <w:rsid w:val="3EFE0783"/>
    <w:rsid w:val="3F4C3432"/>
    <w:rsid w:val="3F79605C"/>
    <w:rsid w:val="3F9A45A8"/>
    <w:rsid w:val="3F9F3D14"/>
    <w:rsid w:val="3FC217B1"/>
    <w:rsid w:val="3FFD0A3B"/>
    <w:rsid w:val="400F07A1"/>
    <w:rsid w:val="40160806"/>
    <w:rsid w:val="40593003"/>
    <w:rsid w:val="40630F8D"/>
    <w:rsid w:val="408F6A49"/>
    <w:rsid w:val="40C8729B"/>
    <w:rsid w:val="40EA7211"/>
    <w:rsid w:val="418256E1"/>
    <w:rsid w:val="41EC0D67"/>
    <w:rsid w:val="422D7327"/>
    <w:rsid w:val="42674891"/>
    <w:rsid w:val="428E0070"/>
    <w:rsid w:val="42B15B0D"/>
    <w:rsid w:val="42BB20B1"/>
    <w:rsid w:val="42C817D4"/>
    <w:rsid w:val="42E163F2"/>
    <w:rsid w:val="42F44377"/>
    <w:rsid w:val="431F37D9"/>
    <w:rsid w:val="43397FDC"/>
    <w:rsid w:val="435766B4"/>
    <w:rsid w:val="438374A9"/>
    <w:rsid w:val="438F3402"/>
    <w:rsid w:val="439B162A"/>
    <w:rsid w:val="43B104BA"/>
    <w:rsid w:val="43C57AC2"/>
    <w:rsid w:val="43EF0FE2"/>
    <w:rsid w:val="43FE4D82"/>
    <w:rsid w:val="44441786"/>
    <w:rsid w:val="447137A5"/>
    <w:rsid w:val="449A5D63"/>
    <w:rsid w:val="457C0654"/>
    <w:rsid w:val="457E67CF"/>
    <w:rsid w:val="45FB7CEC"/>
    <w:rsid w:val="46164604"/>
    <w:rsid w:val="461C4723"/>
    <w:rsid w:val="46205483"/>
    <w:rsid w:val="463B406B"/>
    <w:rsid w:val="46625A9C"/>
    <w:rsid w:val="466435C2"/>
    <w:rsid w:val="46A902D3"/>
    <w:rsid w:val="46B766BA"/>
    <w:rsid w:val="46E13C61"/>
    <w:rsid w:val="471E7C15"/>
    <w:rsid w:val="472C7F1C"/>
    <w:rsid w:val="47411B55"/>
    <w:rsid w:val="47680E90"/>
    <w:rsid w:val="477A1300"/>
    <w:rsid w:val="477C780F"/>
    <w:rsid w:val="47A76D05"/>
    <w:rsid w:val="47B02837"/>
    <w:rsid w:val="47C357D6"/>
    <w:rsid w:val="480E6A5C"/>
    <w:rsid w:val="48111527"/>
    <w:rsid w:val="48164D90"/>
    <w:rsid w:val="481728B6"/>
    <w:rsid w:val="488A6A97"/>
    <w:rsid w:val="48AE4FC8"/>
    <w:rsid w:val="48DE348E"/>
    <w:rsid w:val="48F41770"/>
    <w:rsid w:val="4924528A"/>
    <w:rsid w:val="49575B2E"/>
    <w:rsid w:val="49A82C35"/>
    <w:rsid w:val="4A08695A"/>
    <w:rsid w:val="4A4611D5"/>
    <w:rsid w:val="4A5E6069"/>
    <w:rsid w:val="4A985F30"/>
    <w:rsid w:val="4AE03433"/>
    <w:rsid w:val="4B042693"/>
    <w:rsid w:val="4B1569D7"/>
    <w:rsid w:val="4B3A65C3"/>
    <w:rsid w:val="4B3C2D5F"/>
    <w:rsid w:val="4B7122DD"/>
    <w:rsid w:val="4B78366B"/>
    <w:rsid w:val="4B8D3D6B"/>
    <w:rsid w:val="4BC3391C"/>
    <w:rsid w:val="4BFD0F3F"/>
    <w:rsid w:val="4C137A41"/>
    <w:rsid w:val="4C4A3EEE"/>
    <w:rsid w:val="4C7B603F"/>
    <w:rsid w:val="4C93708C"/>
    <w:rsid w:val="4D187FC0"/>
    <w:rsid w:val="4D1A2C2C"/>
    <w:rsid w:val="4D1A7301"/>
    <w:rsid w:val="4D374A4E"/>
    <w:rsid w:val="4D484547"/>
    <w:rsid w:val="4D4D2858"/>
    <w:rsid w:val="4D583754"/>
    <w:rsid w:val="4D67080C"/>
    <w:rsid w:val="4D6D377D"/>
    <w:rsid w:val="4D7164BA"/>
    <w:rsid w:val="4D924C82"/>
    <w:rsid w:val="4D924EB8"/>
    <w:rsid w:val="4DAD54A5"/>
    <w:rsid w:val="4DAE15C6"/>
    <w:rsid w:val="4DB54F8B"/>
    <w:rsid w:val="4DC808DA"/>
    <w:rsid w:val="4DDB0306"/>
    <w:rsid w:val="4E1A1B54"/>
    <w:rsid w:val="4E4953E3"/>
    <w:rsid w:val="4E6C395B"/>
    <w:rsid w:val="4F0F2539"/>
    <w:rsid w:val="4F735774"/>
    <w:rsid w:val="4FAC2659"/>
    <w:rsid w:val="4FB74A0E"/>
    <w:rsid w:val="4FF140EA"/>
    <w:rsid w:val="500259E5"/>
    <w:rsid w:val="50446212"/>
    <w:rsid w:val="505B3C87"/>
    <w:rsid w:val="50880BD9"/>
    <w:rsid w:val="50953002"/>
    <w:rsid w:val="50A43B2D"/>
    <w:rsid w:val="50B25872"/>
    <w:rsid w:val="50E13A61"/>
    <w:rsid w:val="50EA57CF"/>
    <w:rsid w:val="510D4856"/>
    <w:rsid w:val="514522B7"/>
    <w:rsid w:val="51856AE2"/>
    <w:rsid w:val="518E3CBC"/>
    <w:rsid w:val="51901536"/>
    <w:rsid w:val="519B0BD4"/>
    <w:rsid w:val="519D5BA2"/>
    <w:rsid w:val="51A41D59"/>
    <w:rsid w:val="51BF63E8"/>
    <w:rsid w:val="51C25640"/>
    <w:rsid w:val="51CB10C5"/>
    <w:rsid w:val="51D13AD5"/>
    <w:rsid w:val="51ED634E"/>
    <w:rsid w:val="51F85506"/>
    <w:rsid w:val="52020133"/>
    <w:rsid w:val="520B5239"/>
    <w:rsid w:val="52102850"/>
    <w:rsid w:val="52195BA8"/>
    <w:rsid w:val="521D4F6D"/>
    <w:rsid w:val="52214A5D"/>
    <w:rsid w:val="524424F9"/>
    <w:rsid w:val="52734B8D"/>
    <w:rsid w:val="528079D5"/>
    <w:rsid w:val="52833022"/>
    <w:rsid w:val="52F061DD"/>
    <w:rsid w:val="530F48B5"/>
    <w:rsid w:val="531E0F9C"/>
    <w:rsid w:val="53350E5B"/>
    <w:rsid w:val="533D62D3"/>
    <w:rsid w:val="53557C46"/>
    <w:rsid w:val="53CF453C"/>
    <w:rsid w:val="54047E50"/>
    <w:rsid w:val="54300F87"/>
    <w:rsid w:val="543A648F"/>
    <w:rsid w:val="54505185"/>
    <w:rsid w:val="549922CD"/>
    <w:rsid w:val="549E0B9F"/>
    <w:rsid w:val="54A37966"/>
    <w:rsid w:val="54AD25D8"/>
    <w:rsid w:val="54C94F38"/>
    <w:rsid w:val="54E029AD"/>
    <w:rsid w:val="54E63D3C"/>
    <w:rsid w:val="559266D3"/>
    <w:rsid w:val="55A439DB"/>
    <w:rsid w:val="55EB0623"/>
    <w:rsid w:val="560964BA"/>
    <w:rsid w:val="56156687"/>
    <w:rsid w:val="5621327D"/>
    <w:rsid w:val="562B360A"/>
    <w:rsid w:val="56505911"/>
    <w:rsid w:val="569D1575"/>
    <w:rsid w:val="56C63FA1"/>
    <w:rsid w:val="571C1EF8"/>
    <w:rsid w:val="572172AD"/>
    <w:rsid w:val="57311684"/>
    <w:rsid w:val="5790175B"/>
    <w:rsid w:val="57A6268A"/>
    <w:rsid w:val="57C24573"/>
    <w:rsid w:val="57F14F89"/>
    <w:rsid w:val="585600F5"/>
    <w:rsid w:val="58D5293F"/>
    <w:rsid w:val="59170968"/>
    <w:rsid w:val="59352B9C"/>
    <w:rsid w:val="59814033"/>
    <w:rsid w:val="598B72DF"/>
    <w:rsid w:val="598D212C"/>
    <w:rsid w:val="59A85A64"/>
    <w:rsid w:val="59C339BE"/>
    <w:rsid w:val="59C97EB4"/>
    <w:rsid w:val="5A13386E"/>
    <w:rsid w:val="5A6279C1"/>
    <w:rsid w:val="5AC5138E"/>
    <w:rsid w:val="5AEB20AC"/>
    <w:rsid w:val="5B061518"/>
    <w:rsid w:val="5B2479CD"/>
    <w:rsid w:val="5B476268"/>
    <w:rsid w:val="5B540F34"/>
    <w:rsid w:val="5BB47213"/>
    <w:rsid w:val="5BE8230B"/>
    <w:rsid w:val="5C3D458D"/>
    <w:rsid w:val="5C5B25F2"/>
    <w:rsid w:val="5C7834CB"/>
    <w:rsid w:val="5C7B35AB"/>
    <w:rsid w:val="5C8F486C"/>
    <w:rsid w:val="5CA95D7B"/>
    <w:rsid w:val="5CB941C4"/>
    <w:rsid w:val="5D0607CD"/>
    <w:rsid w:val="5D076885"/>
    <w:rsid w:val="5D2D2508"/>
    <w:rsid w:val="5D810890"/>
    <w:rsid w:val="5D8510BF"/>
    <w:rsid w:val="5D997B9D"/>
    <w:rsid w:val="5E3577AE"/>
    <w:rsid w:val="5E79177D"/>
    <w:rsid w:val="5E8428DD"/>
    <w:rsid w:val="5E9332C3"/>
    <w:rsid w:val="5EFF443C"/>
    <w:rsid w:val="5F0266A5"/>
    <w:rsid w:val="5F25327F"/>
    <w:rsid w:val="5FA43E6F"/>
    <w:rsid w:val="5FBC6FBB"/>
    <w:rsid w:val="5FE61094"/>
    <w:rsid w:val="600D6620"/>
    <w:rsid w:val="6065020A"/>
    <w:rsid w:val="607E4984"/>
    <w:rsid w:val="60843F56"/>
    <w:rsid w:val="60A01243"/>
    <w:rsid w:val="60DE739B"/>
    <w:rsid w:val="60E80F1B"/>
    <w:rsid w:val="61033096"/>
    <w:rsid w:val="610712C2"/>
    <w:rsid w:val="610C0686"/>
    <w:rsid w:val="611A79C2"/>
    <w:rsid w:val="6126799A"/>
    <w:rsid w:val="618A1849"/>
    <w:rsid w:val="618B1EF3"/>
    <w:rsid w:val="619F38DC"/>
    <w:rsid w:val="61A02E51"/>
    <w:rsid w:val="61BE5E24"/>
    <w:rsid w:val="61D04CEA"/>
    <w:rsid w:val="61D45648"/>
    <w:rsid w:val="61EF253F"/>
    <w:rsid w:val="61F93300"/>
    <w:rsid w:val="62275704"/>
    <w:rsid w:val="624219DD"/>
    <w:rsid w:val="627029F7"/>
    <w:rsid w:val="62B86D17"/>
    <w:rsid w:val="63276DF7"/>
    <w:rsid w:val="633376A7"/>
    <w:rsid w:val="63456658"/>
    <w:rsid w:val="63D17CE2"/>
    <w:rsid w:val="63FE3188"/>
    <w:rsid w:val="6408782B"/>
    <w:rsid w:val="646066A0"/>
    <w:rsid w:val="646B1B68"/>
    <w:rsid w:val="64A16418"/>
    <w:rsid w:val="64A565FB"/>
    <w:rsid w:val="64AA6B34"/>
    <w:rsid w:val="64F920B9"/>
    <w:rsid w:val="656071F2"/>
    <w:rsid w:val="65B22539"/>
    <w:rsid w:val="66284E41"/>
    <w:rsid w:val="665C68CF"/>
    <w:rsid w:val="66776028"/>
    <w:rsid w:val="668272C8"/>
    <w:rsid w:val="66BE68C6"/>
    <w:rsid w:val="66C62D20"/>
    <w:rsid w:val="66DC0AFB"/>
    <w:rsid w:val="66ED2D08"/>
    <w:rsid w:val="66F016F9"/>
    <w:rsid w:val="67981871"/>
    <w:rsid w:val="67A55390"/>
    <w:rsid w:val="67D30150"/>
    <w:rsid w:val="67EA10C7"/>
    <w:rsid w:val="67FA5BA4"/>
    <w:rsid w:val="682B3AE8"/>
    <w:rsid w:val="682E05BC"/>
    <w:rsid w:val="68330BEE"/>
    <w:rsid w:val="686B660F"/>
    <w:rsid w:val="687E6E09"/>
    <w:rsid w:val="689A5EF2"/>
    <w:rsid w:val="68A8338A"/>
    <w:rsid w:val="68D15B28"/>
    <w:rsid w:val="68F24043"/>
    <w:rsid w:val="698E4C21"/>
    <w:rsid w:val="69B72903"/>
    <w:rsid w:val="69BD4C13"/>
    <w:rsid w:val="69D72179"/>
    <w:rsid w:val="69EC72A7"/>
    <w:rsid w:val="6A49294B"/>
    <w:rsid w:val="6A505BEF"/>
    <w:rsid w:val="6AAA3288"/>
    <w:rsid w:val="6AF042AC"/>
    <w:rsid w:val="6B427AC6"/>
    <w:rsid w:val="6B4F21E3"/>
    <w:rsid w:val="6B736FC6"/>
    <w:rsid w:val="6B797260"/>
    <w:rsid w:val="6B856401"/>
    <w:rsid w:val="6B8A57A4"/>
    <w:rsid w:val="6BA32C54"/>
    <w:rsid w:val="6C580C23"/>
    <w:rsid w:val="6C865790"/>
    <w:rsid w:val="6C9205D9"/>
    <w:rsid w:val="6C9F4259"/>
    <w:rsid w:val="6CD96208"/>
    <w:rsid w:val="6CE637B9"/>
    <w:rsid w:val="6D4225A4"/>
    <w:rsid w:val="6D827D2B"/>
    <w:rsid w:val="6DE035C6"/>
    <w:rsid w:val="6E1510FE"/>
    <w:rsid w:val="6E251368"/>
    <w:rsid w:val="6E837E8E"/>
    <w:rsid w:val="6EE43D75"/>
    <w:rsid w:val="6F3620D6"/>
    <w:rsid w:val="6F5A4CB2"/>
    <w:rsid w:val="6F886897"/>
    <w:rsid w:val="6F991C7F"/>
    <w:rsid w:val="6FAC19B2"/>
    <w:rsid w:val="6FAE40AE"/>
    <w:rsid w:val="6FFD3FBC"/>
    <w:rsid w:val="701D453F"/>
    <w:rsid w:val="70657DB3"/>
    <w:rsid w:val="70876228"/>
    <w:rsid w:val="70877D29"/>
    <w:rsid w:val="70B56644"/>
    <w:rsid w:val="70E76A1A"/>
    <w:rsid w:val="71502811"/>
    <w:rsid w:val="717C7162"/>
    <w:rsid w:val="71EA67C2"/>
    <w:rsid w:val="723A2045"/>
    <w:rsid w:val="724E0824"/>
    <w:rsid w:val="72712A3F"/>
    <w:rsid w:val="727A7B45"/>
    <w:rsid w:val="72D2048F"/>
    <w:rsid w:val="72FC49FE"/>
    <w:rsid w:val="73644352"/>
    <w:rsid w:val="737C5B3F"/>
    <w:rsid w:val="739B6C81"/>
    <w:rsid w:val="73A04C22"/>
    <w:rsid w:val="73A82490"/>
    <w:rsid w:val="73C90FC0"/>
    <w:rsid w:val="73FF760C"/>
    <w:rsid w:val="74464015"/>
    <w:rsid w:val="745E6FF3"/>
    <w:rsid w:val="7487654A"/>
    <w:rsid w:val="74B35814"/>
    <w:rsid w:val="74B84955"/>
    <w:rsid w:val="74BA6F8A"/>
    <w:rsid w:val="74CC145C"/>
    <w:rsid w:val="74CF151E"/>
    <w:rsid w:val="750D2EF3"/>
    <w:rsid w:val="75263FB5"/>
    <w:rsid w:val="754F09DB"/>
    <w:rsid w:val="75640268"/>
    <w:rsid w:val="758D7B90"/>
    <w:rsid w:val="75C722E6"/>
    <w:rsid w:val="761B33ED"/>
    <w:rsid w:val="764861AD"/>
    <w:rsid w:val="764F3097"/>
    <w:rsid w:val="76992564"/>
    <w:rsid w:val="76C45833"/>
    <w:rsid w:val="77DA2E34"/>
    <w:rsid w:val="77E93077"/>
    <w:rsid w:val="7815719B"/>
    <w:rsid w:val="782F2414"/>
    <w:rsid w:val="786A065C"/>
    <w:rsid w:val="786C6E8A"/>
    <w:rsid w:val="78743289"/>
    <w:rsid w:val="79181E66"/>
    <w:rsid w:val="7922228B"/>
    <w:rsid w:val="794310DE"/>
    <w:rsid w:val="797F3C93"/>
    <w:rsid w:val="79800EF9"/>
    <w:rsid w:val="79DA711C"/>
    <w:rsid w:val="79E42378"/>
    <w:rsid w:val="79ED50A1"/>
    <w:rsid w:val="7A6115EB"/>
    <w:rsid w:val="7A6A3710"/>
    <w:rsid w:val="7A6D6859"/>
    <w:rsid w:val="7A922E92"/>
    <w:rsid w:val="7AD67CB1"/>
    <w:rsid w:val="7AF35895"/>
    <w:rsid w:val="7AFB559C"/>
    <w:rsid w:val="7B156F4B"/>
    <w:rsid w:val="7B5D0004"/>
    <w:rsid w:val="7B7A2964"/>
    <w:rsid w:val="7B835697"/>
    <w:rsid w:val="7BE10C35"/>
    <w:rsid w:val="7BF070CA"/>
    <w:rsid w:val="7C077F70"/>
    <w:rsid w:val="7C7A659F"/>
    <w:rsid w:val="7C835F24"/>
    <w:rsid w:val="7C846278"/>
    <w:rsid w:val="7CAD41E9"/>
    <w:rsid w:val="7CC54FDF"/>
    <w:rsid w:val="7D642A0B"/>
    <w:rsid w:val="7DA27C62"/>
    <w:rsid w:val="7DAE3D9D"/>
    <w:rsid w:val="7DE20C95"/>
    <w:rsid w:val="7E19039E"/>
    <w:rsid w:val="7E292823"/>
    <w:rsid w:val="7E2F12D7"/>
    <w:rsid w:val="7E5E656D"/>
    <w:rsid w:val="7E7538B7"/>
    <w:rsid w:val="7EA21DFD"/>
    <w:rsid w:val="7EFD0E60"/>
    <w:rsid w:val="7F29157D"/>
    <w:rsid w:val="7F6E05FC"/>
    <w:rsid w:val="7F71407E"/>
    <w:rsid w:val="7F7719A8"/>
    <w:rsid w:val="7F964BF5"/>
    <w:rsid w:val="7FA23452"/>
    <w:rsid w:val="7FBC66B7"/>
    <w:rsid w:val="7FFA0E34"/>
    <w:rsid w:val="EBEE7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ind w:firstLine="0" w:firstLineChars="0"/>
    </w:pPr>
    <w:rPr>
      <w:rFonts w:ascii="仿宋" w:hAnsi="仿宋" w:eastAsia="仿宋" w:cs="Times New Roman"/>
      <w:kern w:val="2"/>
      <w:sz w:val="24"/>
      <w:szCs w:val="28"/>
      <w:lang w:val="en-US" w:eastAsia="zh-CN" w:bidi="ar-SA"/>
    </w:rPr>
  </w:style>
  <w:style w:type="paragraph" w:styleId="2">
    <w:name w:val="heading 1"/>
    <w:basedOn w:val="1"/>
    <w:next w:val="1"/>
    <w:link w:val="47"/>
    <w:qFormat/>
    <w:uiPriority w:val="0"/>
    <w:pPr>
      <w:keepNext/>
      <w:keepLines/>
      <w:spacing w:beforeLines="0" w:after="50" w:afterLines="50" w:line="240" w:lineRule="auto"/>
      <w:ind w:right="0" w:rightChars="0" w:firstLine="0" w:firstLineChars="0"/>
      <w:jc w:val="center"/>
      <w:outlineLvl w:val="0"/>
    </w:pPr>
    <w:rPr>
      <w:b/>
      <w:bCs/>
      <w:kern w:val="44"/>
      <w:sz w:val="44"/>
      <w:szCs w:val="44"/>
    </w:rPr>
  </w:style>
  <w:style w:type="paragraph" w:styleId="3">
    <w:name w:val="heading 2"/>
    <w:basedOn w:val="1"/>
    <w:next w:val="1"/>
    <w:qFormat/>
    <w:uiPriority w:val="0"/>
    <w:pPr>
      <w:keepNext/>
      <w:keepLines/>
      <w:widowControl w:val="0"/>
      <w:numPr>
        <w:ilvl w:val="0"/>
        <w:numId w:val="1"/>
      </w:numPr>
      <w:spacing w:before="260" w:after="260"/>
      <w:ind w:firstLine="0" w:firstLineChars="0"/>
      <w:jc w:val="both"/>
      <w:outlineLvl w:val="1"/>
    </w:pPr>
    <w:rPr>
      <w:rFonts w:ascii="黑体" w:hAnsi="黑体" w:eastAsia="黑体" w:cs="宋体"/>
      <w:bCs/>
    </w:rPr>
  </w:style>
  <w:style w:type="paragraph" w:styleId="4">
    <w:name w:val="heading 3"/>
    <w:basedOn w:val="1"/>
    <w:next w:val="5"/>
    <w:qFormat/>
    <w:uiPriority w:val="0"/>
    <w:pPr>
      <w:keepNext/>
      <w:keepLines/>
      <w:spacing w:before="260" w:after="260" w:line="416" w:lineRule="auto"/>
      <w:outlineLvl w:val="2"/>
    </w:pPr>
    <w:rPr>
      <w:b/>
      <w:bCs/>
      <w:kern w:val="0"/>
      <w:sz w:val="32"/>
      <w:szCs w:val="32"/>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99"/>
    <w:pPr>
      <w:ind w:firstLine="420"/>
    </w:pPr>
    <w:rPr>
      <w:rFonts w:ascii="Arial Unicode MS" w:hAnsi="Arial Unicode MS" w:eastAsia="仿宋_GB2312"/>
      <w:sz w:val="32"/>
    </w:rPr>
  </w:style>
  <w:style w:type="paragraph" w:styleId="6">
    <w:name w:val="index 5"/>
    <w:basedOn w:val="1"/>
    <w:next w:val="1"/>
    <w:qFormat/>
    <w:uiPriority w:val="0"/>
    <w:pPr>
      <w:adjustRightInd w:val="0"/>
      <w:snapToGrid w:val="0"/>
      <w:spacing w:line="360" w:lineRule="auto"/>
      <w:jc w:val="center"/>
    </w:pPr>
    <w:rPr>
      <w:rFonts w:ascii="宋体" w:hAnsi="宋体" w:cs="宋体"/>
      <w:bCs/>
      <w:kern w:val="0"/>
    </w:rPr>
  </w:style>
  <w:style w:type="paragraph" w:styleId="7">
    <w:name w:val="annotation text"/>
    <w:basedOn w:val="1"/>
    <w:qFormat/>
    <w:uiPriority w:val="0"/>
    <w:pPr>
      <w:jc w:val="left"/>
    </w:pPr>
  </w:style>
  <w:style w:type="paragraph" w:styleId="8">
    <w:name w:val="Body Text 3"/>
    <w:basedOn w:val="1"/>
    <w:qFormat/>
    <w:uiPriority w:val="0"/>
    <w:rPr>
      <w:rFonts w:ascii="宋体"/>
      <w:sz w:val="24"/>
      <w:szCs w:val="20"/>
    </w:rPr>
  </w:style>
  <w:style w:type="paragraph" w:styleId="9">
    <w:name w:val="Body Text"/>
    <w:basedOn w:val="1"/>
    <w:next w:val="1"/>
    <w:qFormat/>
    <w:uiPriority w:val="0"/>
    <w:pPr>
      <w:spacing w:after="120" w:afterLines="0"/>
    </w:pPr>
  </w:style>
  <w:style w:type="paragraph" w:styleId="10">
    <w:name w:val="Body Text Indent"/>
    <w:basedOn w:val="1"/>
    <w:next w:val="1"/>
    <w:qFormat/>
    <w:uiPriority w:val="0"/>
    <w:pPr>
      <w:spacing w:after="120" w:afterLines="0"/>
      <w:ind w:left="420" w:leftChars="200"/>
    </w:pPr>
  </w:style>
  <w:style w:type="paragraph" w:styleId="11">
    <w:name w:val="Plain Text"/>
    <w:basedOn w:val="1"/>
    <w:qFormat/>
    <w:uiPriority w:val="0"/>
    <w:rPr>
      <w:rFonts w:ascii="宋体" w:hAnsi="Courier New"/>
      <w:szCs w:val="21"/>
    </w:rPr>
  </w:style>
  <w:style w:type="paragraph" w:styleId="12">
    <w:name w:val="Date"/>
    <w:basedOn w:val="1"/>
    <w:next w:val="1"/>
    <w:qFormat/>
    <w:uiPriority w:val="0"/>
    <w:rPr>
      <w:sz w:val="24"/>
      <w:szCs w:val="20"/>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envelope return"/>
    <w:basedOn w:val="1"/>
    <w:qFormat/>
    <w:uiPriority w:val="99"/>
    <w:pPr>
      <w:snapToGrid w:val="0"/>
    </w:pPr>
    <w:rPr>
      <w:rFonts w:ascii="Arial" w:hAnsi="Arial" w:cs="Arial"/>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beforeLines="0" w:after="120" w:afterLines="0"/>
      <w:jc w:val="left"/>
    </w:pPr>
    <w:rPr>
      <w:b/>
      <w:bCs/>
      <w:caps/>
      <w:sz w:val="20"/>
      <w:szCs w:val="20"/>
    </w:rPr>
  </w:style>
  <w:style w:type="paragraph" w:styleId="17">
    <w:name w:val="Body Text 2"/>
    <w:basedOn w:val="1"/>
    <w:qFormat/>
    <w:uiPriority w:val="0"/>
    <w:pPr>
      <w:spacing w:after="120" w:line="480" w:lineRule="auto"/>
    </w:pPr>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9">
    <w:name w:val="Title"/>
    <w:basedOn w:val="1"/>
    <w:next w:val="1"/>
    <w:qFormat/>
    <w:uiPriority w:val="0"/>
    <w:pPr>
      <w:widowControl/>
      <w:spacing w:before="240" w:after="60"/>
      <w:jc w:val="center"/>
      <w:outlineLvl w:val="0"/>
    </w:pPr>
    <w:rPr>
      <w:rFonts w:ascii="Arial" w:hAnsi="Arial"/>
      <w:b/>
      <w:bCs/>
      <w:kern w:val="0"/>
      <w:sz w:val="44"/>
      <w:szCs w:val="32"/>
    </w:rPr>
  </w:style>
  <w:style w:type="paragraph" w:styleId="20">
    <w:name w:val="Body Text First Indent"/>
    <w:basedOn w:val="9"/>
    <w:next w:val="1"/>
    <w:qFormat/>
    <w:uiPriority w:val="0"/>
    <w:pPr>
      <w:spacing w:line="312" w:lineRule="auto"/>
      <w:ind w:firstLine="420"/>
    </w:pPr>
  </w:style>
  <w:style w:type="paragraph" w:styleId="21">
    <w:name w:val="Body Text First Indent 2"/>
    <w:basedOn w:val="10"/>
    <w:next w:val="1"/>
    <w:unhideWhenUsed/>
    <w:qFormat/>
    <w:uiPriority w:val="0"/>
    <w:pPr>
      <w:ind w:firstLine="420" w:firstLineChars="2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style>
  <w:style w:type="character" w:styleId="26">
    <w:name w:val="page number"/>
    <w:basedOn w:val="24"/>
    <w:qFormat/>
    <w:uiPriority w:val="0"/>
    <w:rPr>
      <w:rFonts w:eastAsia="宋体"/>
      <w:lang w:val="en-US" w:eastAsia="zh-CN" w:bidi="ar-SA"/>
    </w:rPr>
  </w:style>
  <w:style w:type="character" w:styleId="27">
    <w:name w:val="FollowedHyperlink"/>
    <w:basedOn w:val="24"/>
    <w:qFormat/>
    <w:uiPriority w:val="0"/>
    <w:rPr>
      <w:color w:val="333333"/>
      <w:u w:val="none"/>
    </w:rPr>
  </w:style>
  <w:style w:type="character" w:styleId="28">
    <w:name w:val="Emphasis"/>
    <w:basedOn w:val="24"/>
    <w:qFormat/>
    <w:uiPriority w:val="0"/>
  </w:style>
  <w:style w:type="character" w:styleId="29">
    <w:name w:val="HTML Definition"/>
    <w:basedOn w:val="24"/>
    <w:qFormat/>
    <w:uiPriority w:val="0"/>
  </w:style>
  <w:style w:type="character" w:styleId="30">
    <w:name w:val="HTML Typewriter"/>
    <w:basedOn w:val="24"/>
    <w:qFormat/>
    <w:uiPriority w:val="0"/>
    <w:rPr>
      <w:rFonts w:hint="default" w:ascii="monospace" w:hAnsi="monospace" w:eastAsia="monospace" w:cs="monospace"/>
      <w:sz w:val="20"/>
    </w:rPr>
  </w:style>
  <w:style w:type="character" w:styleId="31">
    <w:name w:val="HTML Acronym"/>
    <w:basedOn w:val="24"/>
    <w:qFormat/>
    <w:uiPriority w:val="0"/>
  </w:style>
  <w:style w:type="character" w:styleId="32">
    <w:name w:val="HTML Variable"/>
    <w:basedOn w:val="24"/>
    <w:qFormat/>
    <w:uiPriority w:val="0"/>
  </w:style>
  <w:style w:type="character" w:styleId="33">
    <w:name w:val="Hyperlink"/>
    <w:basedOn w:val="24"/>
    <w:qFormat/>
    <w:uiPriority w:val="0"/>
    <w:rPr>
      <w:color w:val="333333"/>
      <w:u w:val="none"/>
    </w:rPr>
  </w:style>
  <w:style w:type="character" w:styleId="34">
    <w:name w:val="HTML Code"/>
    <w:basedOn w:val="24"/>
    <w:qFormat/>
    <w:uiPriority w:val="0"/>
    <w:rPr>
      <w:rFonts w:ascii="monospace" w:hAnsi="monospace" w:eastAsia="monospace" w:cs="monospace"/>
      <w:sz w:val="20"/>
    </w:rPr>
  </w:style>
  <w:style w:type="character" w:styleId="35">
    <w:name w:val="HTML Cite"/>
    <w:basedOn w:val="24"/>
    <w:qFormat/>
    <w:uiPriority w:val="0"/>
  </w:style>
  <w:style w:type="character" w:styleId="36">
    <w:name w:val="HTML Keyboard"/>
    <w:basedOn w:val="24"/>
    <w:qFormat/>
    <w:uiPriority w:val="0"/>
    <w:rPr>
      <w:rFonts w:hint="default" w:ascii="monospace" w:hAnsi="monospace" w:eastAsia="monospace" w:cs="monospace"/>
      <w:sz w:val="20"/>
    </w:rPr>
  </w:style>
  <w:style w:type="character" w:styleId="37">
    <w:name w:val="HTML Sample"/>
    <w:basedOn w:val="24"/>
    <w:qFormat/>
    <w:uiPriority w:val="0"/>
    <w:rPr>
      <w:rFonts w:hint="default" w:ascii="monospace" w:hAnsi="monospace" w:eastAsia="monospace" w:cs="monospace"/>
    </w:rPr>
  </w:style>
  <w:style w:type="paragraph" w:customStyle="1" w:styleId="38">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39">
    <w:name w:val="List Paragraph"/>
    <w:basedOn w:val="1"/>
    <w:qFormat/>
    <w:uiPriority w:val="34"/>
    <w:pPr>
      <w:widowControl w:val="0"/>
      <w:spacing w:line="240" w:lineRule="auto"/>
      <w:ind w:firstLine="420"/>
      <w:jc w:val="both"/>
    </w:pPr>
    <w:rPr>
      <w:rFonts w:ascii="Times New Roman" w:hAnsi="Times New Roman" w:eastAsia="宋体"/>
      <w:sz w:val="21"/>
      <w:szCs w:val="24"/>
    </w:rPr>
  </w:style>
  <w:style w:type="paragraph" w:customStyle="1" w:styleId="40">
    <w:name w:val="样式 小四 段前: 5 磅 段后: 5 磅 首行缩进:  2 字符"/>
    <w:basedOn w:val="1"/>
    <w:qFormat/>
    <w:uiPriority w:val="0"/>
    <w:pPr>
      <w:spacing w:line="360" w:lineRule="auto"/>
    </w:pPr>
    <w:rPr>
      <w:rFonts w:ascii="宋体" w:hAnsi="宋体"/>
      <w:sz w:val="24"/>
      <w:szCs w:val="21"/>
    </w:rPr>
  </w:style>
  <w:style w:type="paragraph" w:customStyle="1" w:styleId="41">
    <w:name w:val="默认段落字体 Para Char"/>
    <w:basedOn w:val="1"/>
    <w:next w:val="1"/>
    <w:qFormat/>
    <w:uiPriority w:val="0"/>
    <w:pPr>
      <w:adjustRightInd/>
      <w:snapToGrid/>
    </w:pPr>
    <w:rPr>
      <w:rFonts w:ascii="宋体" w:hAnsi="宋体" w:cs="宋体"/>
      <w:sz w:val="24"/>
    </w:rPr>
  </w:style>
  <w:style w:type="character" w:customStyle="1" w:styleId="42">
    <w:name w:val="font101"/>
    <w:basedOn w:val="24"/>
    <w:qFormat/>
    <w:uiPriority w:val="0"/>
    <w:rPr>
      <w:rFonts w:hint="eastAsia" w:ascii="宋体" w:hAnsi="宋体" w:eastAsia="宋体" w:cs="宋体"/>
      <w:color w:val="000000"/>
      <w:sz w:val="20"/>
      <w:szCs w:val="20"/>
      <w:u w:val="none"/>
    </w:rPr>
  </w:style>
  <w:style w:type="paragraph" w:customStyle="1" w:styleId="43">
    <w:name w:val="样式 样式 标题 1 + 仿宋_GB2312 三号 左侧:  1 字符 首行缩进:  2 字符 右侧:  1 字符 行距: ....."/>
    <w:basedOn w:val="44"/>
    <w:qFormat/>
    <w:uiPriority w:val="0"/>
    <w:pPr>
      <w:ind w:firstLine="100" w:firstLineChars="100"/>
    </w:pPr>
  </w:style>
  <w:style w:type="paragraph" w:customStyle="1" w:styleId="44">
    <w:name w:val="样式 标题 1 + 仿宋_GB2312 三号 左侧:  1 字符 首行缩进:  2 字符 右侧:  1 字符 行距: ..."/>
    <w:basedOn w:val="2"/>
    <w:qFormat/>
    <w:uiPriority w:val="0"/>
    <w:pPr>
      <w:spacing w:line="500" w:lineRule="exact"/>
      <w:ind w:left="100" w:right="100" w:firstLine="0" w:firstLineChars="0"/>
    </w:pPr>
    <w:rPr>
      <w:rFonts w:ascii="仿宋_GB2312" w:eastAsia="仿宋_GB2312" w:cs="宋体"/>
      <w:sz w:val="32"/>
      <w:szCs w:val="20"/>
    </w:rPr>
  </w:style>
  <w:style w:type="paragraph" w:customStyle="1" w:styleId="45">
    <w:name w:val="须知 标题"/>
    <w:basedOn w:val="3"/>
    <w:qFormat/>
    <w:uiPriority w:val="0"/>
    <w:pPr>
      <w:numPr>
        <w:numId w:val="0"/>
      </w:numPr>
      <w:snapToGrid w:val="0"/>
      <w:spacing w:line="360" w:lineRule="auto"/>
      <w:jc w:val="center"/>
    </w:pPr>
    <w:rPr>
      <w:rFonts w:ascii="微软雅黑" w:hAnsi="微软雅黑" w:eastAsia="微软雅黑" w:cs="微软雅黑"/>
      <w:b/>
      <w:spacing w:val="10"/>
      <w:sz w:val="24"/>
      <w:szCs w:val="24"/>
    </w:rPr>
  </w:style>
  <w:style w:type="paragraph" w:customStyle="1" w:styleId="46">
    <w:name w:val="章标题"/>
    <w:basedOn w:val="1"/>
    <w:next w:val="1"/>
    <w:qFormat/>
    <w:uiPriority w:val="0"/>
    <w:pPr>
      <w:keepNext/>
      <w:keepLines/>
      <w:numPr>
        <w:ilvl w:val="0"/>
        <w:numId w:val="2"/>
      </w:numPr>
      <w:spacing w:before="340" w:beforeLines="0" w:after="330" w:afterLines="0"/>
      <w:ind w:left="420" w:hanging="420" w:firstLineChars="0"/>
      <w:jc w:val="center"/>
      <w:outlineLvl w:val="0"/>
    </w:pPr>
    <w:rPr>
      <w:rFonts w:hint="eastAsia" w:ascii="宋体" w:hAnsi="宋体" w:eastAsia="宋体" w:cs="宋体"/>
      <w:b/>
      <w:bCs/>
      <w:color w:val="auto"/>
      <w:kern w:val="44"/>
      <w:sz w:val="36"/>
      <w:szCs w:val="36"/>
    </w:rPr>
  </w:style>
  <w:style w:type="character" w:customStyle="1" w:styleId="47">
    <w:name w:val="标题 1 Char"/>
    <w:link w:val="2"/>
    <w:qFormat/>
    <w:uiPriority w:val="0"/>
    <w:rPr>
      <w:rFonts w:eastAsia="仿宋"/>
      <w:b/>
      <w:bCs/>
      <w:kern w:val="44"/>
      <w:sz w:val="44"/>
      <w:szCs w:val="44"/>
    </w:rPr>
  </w:style>
  <w:style w:type="paragraph" w:customStyle="1" w:styleId="48">
    <w:name w:val="Table Text"/>
    <w:basedOn w:val="1"/>
    <w:semiHidden/>
    <w:qFormat/>
    <w:uiPriority w:val="0"/>
    <w:pPr>
      <w:spacing w:line="380" w:lineRule="exact"/>
    </w:pPr>
    <w:rPr>
      <w:rFonts w:ascii="宋体" w:hAnsi="宋体" w:eastAsia="宋体" w:cs="宋体"/>
      <w:sz w:val="24"/>
      <w:szCs w:val="24"/>
    </w:rPr>
  </w:style>
  <w:style w:type="paragraph" w:customStyle="1" w:styleId="49">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5513</Words>
  <Characters>6351</Characters>
  <Lines>0</Lines>
  <Paragraphs>0</Paragraphs>
  <TotalTime>30</TotalTime>
  <ScaleCrop>false</ScaleCrop>
  <LinksUpToDate>false</LinksUpToDate>
  <CharactersWithSpaces>6442</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2022-08-03T09:35:00Z</dcterms:created>
  <dc:creator>不吃胡萝卜的兔子小姐</dc:creator>
  <cp:lastModifiedBy>inspur</cp:lastModifiedBy>
  <dcterms:modified xsi:type="dcterms:W3CDTF">2025-06-25T10:30:44Z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433C658FA9C341E7ABA35FEFE0E92DC7_13</vt:lpwstr>
  </property>
  <property fmtid="{D5CDD505-2E9C-101B-9397-08002B2CF9AE}" pid="4" name="KSOTemplateDocerSaveRecord">
    <vt:lpwstr>eyJoZGlkIjoiYTUwMjY0MjlmYjhlMDMxYWQ4ZjQ4MWE3NGFjN2M4NzYiLCJ1c2VySWQiOiIxNDQwODA4ODkyIn0=</vt:lpwstr>
  </property>
</Properties>
</file>