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03" w:rsidRDefault="00091E03" w:rsidP="00091E03">
      <w:pPr>
        <w:widowControl/>
        <w:shd w:val="clear" w:color="auto" w:fill="FFFFFF"/>
        <w:spacing w:line="520" w:lineRule="exact"/>
        <w:ind w:firstLineChars="150" w:firstLine="542"/>
        <w:jc w:val="left"/>
        <w:rPr>
          <w:rFonts w:ascii="宋体" w:hAnsi="宋体" w:hint="eastAsia"/>
          <w:b/>
          <w:bCs/>
          <w:color w:val="000000"/>
          <w:kern w:val="0"/>
          <w:sz w:val="36"/>
          <w:szCs w:val="36"/>
        </w:rPr>
      </w:pPr>
      <w:r>
        <w:rPr>
          <w:rFonts w:ascii="宋体" w:hAnsi="宋体" w:hint="eastAsia"/>
          <w:b/>
          <w:bCs/>
          <w:color w:val="000000"/>
          <w:kern w:val="0"/>
          <w:sz w:val="36"/>
          <w:szCs w:val="36"/>
        </w:rPr>
        <w:t>《关于推进知识产权强市建设的实施方案》的解读</w:t>
      </w:r>
    </w:p>
    <w:p w:rsidR="00091E03" w:rsidRDefault="00091E03" w:rsidP="00091E03">
      <w:pPr>
        <w:spacing w:line="520" w:lineRule="exact"/>
        <w:ind w:firstLineChars="200" w:firstLine="480"/>
        <w:rPr>
          <w:rFonts w:ascii="宋体" w:hAnsi="宋体" w:cs="宋体" w:hint="eastAsia"/>
          <w:sz w:val="24"/>
          <w:szCs w:val="24"/>
        </w:rPr>
      </w:pPr>
    </w:p>
    <w:p w:rsidR="003344CE" w:rsidRPr="001165E1" w:rsidRDefault="003344CE" w:rsidP="00353B2E">
      <w:pPr>
        <w:spacing w:line="520" w:lineRule="exact"/>
        <w:ind w:firstLineChars="200" w:firstLine="480"/>
        <w:rPr>
          <w:rFonts w:ascii="宋体" w:cs="宋体"/>
          <w:sz w:val="24"/>
          <w:szCs w:val="24"/>
        </w:rPr>
      </w:pPr>
      <w:r w:rsidRPr="001165E1">
        <w:rPr>
          <w:rFonts w:ascii="宋体" w:hAnsi="宋体" w:cs="宋体" w:hint="eastAsia"/>
          <w:sz w:val="24"/>
          <w:szCs w:val="24"/>
        </w:rPr>
        <w:t>为全面贯彻党中央、国务院关于高质量发展决策部署，进一步落实中共中央办公厅、国务院办公厅《关于强化知识产权保护的意见》以及中共吉林省委办公厅、吉林省人民政府办公厅《关于推进知识产权强省建设的实施意见》要求，推进知识产权强市建设，持续优化营商环境。市市场监管局代市委市政府起草了《关于推进知识产权强市建设的实施方案（征求意见稿）》（以下简称《实施方案》）。为方便公众更加客观、全面和深入地了解本《实施方案》，现将《实施方案》有关情况介绍如下。</w:t>
      </w:r>
    </w:p>
    <w:p w:rsidR="003344CE" w:rsidRPr="001165E1" w:rsidRDefault="00353B2E" w:rsidP="00353B2E">
      <w:pPr>
        <w:spacing w:line="520" w:lineRule="exact"/>
        <w:ind w:firstLineChars="200" w:firstLine="482"/>
        <w:rPr>
          <w:rFonts w:ascii="宋体" w:cs="宋体"/>
          <w:b/>
          <w:bCs/>
          <w:sz w:val="24"/>
          <w:szCs w:val="24"/>
        </w:rPr>
      </w:pPr>
      <w:r>
        <w:rPr>
          <w:rFonts w:ascii="宋体" w:hAnsi="宋体" w:cs="宋体" w:hint="eastAsia"/>
          <w:b/>
          <w:bCs/>
          <w:sz w:val="24"/>
          <w:szCs w:val="24"/>
        </w:rPr>
        <w:t>一、</w:t>
      </w:r>
      <w:r w:rsidR="003344CE" w:rsidRPr="001165E1">
        <w:rPr>
          <w:rFonts w:ascii="宋体" w:hAnsi="宋体" w:cs="宋体" w:hint="eastAsia"/>
          <w:b/>
          <w:bCs/>
          <w:sz w:val="24"/>
          <w:szCs w:val="24"/>
        </w:rPr>
        <w:t>起草依据</w:t>
      </w:r>
    </w:p>
    <w:p w:rsidR="003344CE" w:rsidRPr="001165E1" w:rsidRDefault="003344CE" w:rsidP="00353B2E">
      <w:pPr>
        <w:spacing w:line="520" w:lineRule="exact"/>
        <w:ind w:firstLineChars="200" w:firstLine="480"/>
        <w:rPr>
          <w:rFonts w:ascii="宋体" w:cs="宋体"/>
          <w:sz w:val="24"/>
          <w:szCs w:val="24"/>
        </w:rPr>
      </w:pPr>
      <w:r w:rsidRPr="001165E1">
        <w:rPr>
          <w:rFonts w:ascii="宋体" w:hAnsi="宋体" w:cs="宋体" w:hint="eastAsia"/>
          <w:sz w:val="24"/>
          <w:szCs w:val="24"/>
        </w:rPr>
        <w:t>为整体提升我市知识产权创造、运用、保护的能力和水平，完善知识产权政策体系，推动知识产权高质量发展，激发创新活力，促进新时代吉林市全面振兴全方位振兴，亟需制定符合我市实际的知识产权强市建设实施方案。本《实施方案》是根据中共中央办公厅、国务院办公厅《关于强化知识产权保护的意见》，参照中共吉林省委办公厅、吉林省人民政府办公厅《关于推进知识产权强省建设的实施意见》文件精神制定。</w:t>
      </w:r>
    </w:p>
    <w:p w:rsidR="003344CE" w:rsidRPr="001165E1" w:rsidRDefault="00353B2E" w:rsidP="00353B2E">
      <w:pPr>
        <w:spacing w:line="520" w:lineRule="exact"/>
        <w:ind w:firstLineChars="200" w:firstLine="482"/>
        <w:rPr>
          <w:rFonts w:ascii="宋体" w:cs="宋体"/>
          <w:b/>
          <w:bCs/>
          <w:sz w:val="24"/>
          <w:szCs w:val="24"/>
        </w:rPr>
      </w:pPr>
      <w:r>
        <w:rPr>
          <w:rFonts w:ascii="宋体" w:hAnsi="宋体" w:cs="宋体" w:hint="eastAsia"/>
          <w:b/>
          <w:bCs/>
          <w:sz w:val="24"/>
          <w:szCs w:val="24"/>
        </w:rPr>
        <w:t>二、</w:t>
      </w:r>
      <w:r w:rsidR="003344CE" w:rsidRPr="001165E1">
        <w:rPr>
          <w:rFonts w:ascii="宋体" w:hAnsi="宋体" w:cs="宋体" w:hint="eastAsia"/>
          <w:b/>
          <w:bCs/>
          <w:sz w:val="24"/>
          <w:szCs w:val="24"/>
        </w:rPr>
        <w:t>工作目标</w:t>
      </w:r>
    </w:p>
    <w:p w:rsidR="003344CE" w:rsidRPr="001165E1" w:rsidRDefault="003344CE" w:rsidP="00353B2E">
      <w:pPr>
        <w:spacing w:line="520" w:lineRule="exact"/>
        <w:ind w:firstLineChars="200" w:firstLine="480"/>
        <w:rPr>
          <w:rFonts w:ascii="宋体" w:cs="宋体"/>
          <w:sz w:val="24"/>
          <w:szCs w:val="24"/>
        </w:rPr>
      </w:pPr>
      <w:r w:rsidRPr="001165E1">
        <w:rPr>
          <w:rFonts w:ascii="宋体" w:hAnsi="宋体" w:cs="宋体" w:hint="eastAsia"/>
          <w:sz w:val="24"/>
          <w:szCs w:val="24"/>
        </w:rPr>
        <w:t>力争到</w:t>
      </w:r>
      <w:r w:rsidRPr="001165E1">
        <w:rPr>
          <w:rFonts w:ascii="宋体" w:hAnsi="宋体" w:cs="宋体"/>
          <w:sz w:val="24"/>
          <w:szCs w:val="24"/>
        </w:rPr>
        <w:t>2022</w:t>
      </w:r>
      <w:r w:rsidRPr="001165E1">
        <w:rPr>
          <w:rFonts w:ascii="宋体" w:hAnsi="宋体" w:cs="宋体" w:hint="eastAsia"/>
          <w:sz w:val="24"/>
          <w:szCs w:val="24"/>
        </w:rPr>
        <w:t>年，知识产权政策体系较为完善，知识产权保护体系更加健全，知识产权维权援助服务实现全覆盖，初步形成“横向协作、纵向联动、内外统筹”的工作格局。知识产权侵权与假冒现象得到有效遏制，损害赔偿力度显著加大，权利人维权“举证难、周期长、成本高、赔偿低”的局面明显改观。培育</w:t>
      </w:r>
      <w:r w:rsidRPr="001165E1">
        <w:rPr>
          <w:rFonts w:ascii="宋体" w:hAnsi="宋体" w:cs="宋体"/>
          <w:sz w:val="24"/>
          <w:szCs w:val="24"/>
        </w:rPr>
        <w:t>10</w:t>
      </w:r>
      <w:r w:rsidRPr="001165E1">
        <w:rPr>
          <w:rFonts w:ascii="宋体" w:hAnsi="宋体" w:cs="宋体" w:hint="eastAsia"/>
          <w:sz w:val="24"/>
          <w:szCs w:val="24"/>
        </w:rPr>
        <w:t>家知识产权示范学校、</w:t>
      </w:r>
      <w:r w:rsidRPr="001165E1">
        <w:rPr>
          <w:rFonts w:ascii="宋体" w:hAnsi="宋体" w:cs="宋体"/>
          <w:sz w:val="24"/>
          <w:szCs w:val="24"/>
        </w:rPr>
        <w:t>15</w:t>
      </w:r>
      <w:r w:rsidRPr="001165E1">
        <w:rPr>
          <w:rFonts w:ascii="宋体" w:hAnsi="宋体" w:cs="宋体" w:hint="eastAsia"/>
          <w:sz w:val="24"/>
          <w:szCs w:val="24"/>
        </w:rPr>
        <w:t>户知识产权优势示范企业、</w:t>
      </w:r>
      <w:r w:rsidRPr="001165E1">
        <w:rPr>
          <w:rFonts w:ascii="宋体" w:hAnsi="宋体" w:cs="宋体"/>
          <w:sz w:val="24"/>
          <w:szCs w:val="24"/>
        </w:rPr>
        <w:t>15</w:t>
      </w:r>
      <w:r w:rsidRPr="001165E1">
        <w:rPr>
          <w:rFonts w:ascii="宋体" w:hAnsi="宋体" w:cs="宋体" w:hint="eastAsia"/>
          <w:sz w:val="24"/>
          <w:szCs w:val="24"/>
        </w:rPr>
        <w:t>项高价值发明专利，有效注册商标达到</w:t>
      </w:r>
      <w:r w:rsidRPr="001165E1">
        <w:rPr>
          <w:rFonts w:ascii="宋体" w:hAnsi="宋体" w:cs="宋体"/>
          <w:sz w:val="24"/>
          <w:szCs w:val="24"/>
        </w:rPr>
        <w:t>2.8</w:t>
      </w:r>
      <w:r w:rsidRPr="001165E1">
        <w:rPr>
          <w:rFonts w:ascii="宋体" w:hAnsi="宋体" w:cs="宋体" w:hint="eastAsia"/>
          <w:sz w:val="24"/>
          <w:szCs w:val="24"/>
        </w:rPr>
        <w:t>万件，地理标志商标</w:t>
      </w:r>
      <w:r w:rsidRPr="001165E1">
        <w:rPr>
          <w:rFonts w:ascii="宋体" w:hAnsi="宋体" w:cs="宋体"/>
          <w:sz w:val="24"/>
          <w:szCs w:val="24"/>
        </w:rPr>
        <w:t>8</w:t>
      </w:r>
      <w:r w:rsidRPr="001165E1">
        <w:rPr>
          <w:rFonts w:ascii="宋体" w:hAnsi="宋体" w:cs="宋体" w:hint="eastAsia"/>
          <w:sz w:val="24"/>
          <w:szCs w:val="24"/>
        </w:rPr>
        <w:t>件，企业服务社会的能力进一步增强。到</w:t>
      </w:r>
      <w:r w:rsidRPr="001165E1">
        <w:rPr>
          <w:rFonts w:ascii="宋体" w:hAnsi="宋体" w:cs="宋体"/>
          <w:sz w:val="24"/>
          <w:szCs w:val="24"/>
        </w:rPr>
        <w:t>2025</w:t>
      </w:r>
      <w:r w:rsidRPr="001165E1">
        <w:rPr>
          <w:rFonts w:ascii="宋体" w:hAnsi="宋体" w:cs="宋体" w:hint="eastAsia"/>
          <w:sz w:val="24"/>
          <w:szCs w:val="24"/>
        </w:rPr>
        <w:t>年，知识产权创造质量、运用效益、保护效果、管理水平和服务能力得到明显提升，知识产权与区域产业、科技、经济融合发展，知识产权社会满意度达到并保持较高水平，尊重知识</w:t>
      </w:r>
      <w:r w:rsidRPr="001165E1">
        <w:rPr>
          <w:rFonts w:ascii="宋体" w:hAnsi="宋体" w:cs="宋体" w:hint="eastAsia"/>
          <w:sz w:val="24"/>
          <w:szCs w:val="24"/>
        </w:rPr>
        <w:lastRenderedPageBreak/>
        <w:t>价值的营商环境更加优化，知识产权制度对激励创新的保障作用得以有效发挥。</w:t>
      </w:r>
    </w:p>
    <w:p w:rsidR="003344CE" w:rsidRPr="001165E1" w:rsidRDefault="00353B2E" w:rsidP="00353B2E">
      <w:pPr>
        <w:spacing w:line="520" w:lineRule="exact"/>
        <w:ind w:firstLineChars="200" w:firstLine="482"/>
        <w:rPr>
          <w:rFonts w:ascii="宋体" w:cs="宋体"/>
          <w:b/>
          <w:bCs/>
          <w:sz w:val="24"/>
          <w:szCs w:val="24"/>
        </w:rPr>
      </w:pPr>
      <w:r>
        <w:rPr>
          <w:rFonts w:ascii="宋体" w:hAnsi="宋体" w:cs="宋体" w:hint="eastAsia"/>
          <w:b/>
          <w:bCs/>
          <w:sz w:val="24"/>
          <w:szCs w:val="24"/>
        </w:rPr>
        <w:t>三、</w:t>
      </w:r>
      <w:r w:rsidR="003344CE" w:rsidRPr="001165E1">
        <w:rPr>
          <w:rFonts w:ascii="宋体" w:hAnsi="宋体" w:cs="宋体" w:hint="eastAsia"/>
          <w:b/>
          <w:bCs/>
          <w:sz w:val="24"/>
          <w:szCs w:val="24"/>
        </w:rPr>
        <w:t>重点任务</w:t>
      </w:r>
    </w:p>
    <w:p w:rsidR="003344CE" w:rsidRPr="001165E1" w:rsidRDefault="003344CE" w:rsidP="00353B2E">
      <w:pPr>
        <w:spacing w:line="520" w:lineRule="exact"/>
        <w:ind w:firstLineChars="200" w:firstLine="480"/>
        <w:rPr>
          <w:rFonts w:ascii="宋体" w:cs="宋体"/>
          <w:sz w:val="24"/>
          <w:szCs w:val="24"/>
        </w:rPr>
      </w:pPr>
      <w:r w:rsidRPr="001165E1">
        <w:rPr>
          <w:rFonts w:ascii="宋体" w:hAnsi="宋体" w:cs="宋体" w:hint="eastAsia"/>
          <w:sz w:val="24"/>
          <w:szCs w:val="24"/>
        </w:rPr>
        <w:t>《实施方案》围绕党中央、国务院以及省、市两级党委、政府关于知识产权工作的决策部署，谋划了三方面的重点任务，明确了任务分工和工作要求，着力提升我市知识产权创造、运用、保护的能力和水平。</w:t>
      </w:r>
    </w:p>
    <w:p w:rsidR="003344CE" w:rsidRPr="00353B2E" w:rsidRDefault="00353B2E" w:rsidP="00353B2E">
      <w:pPr>
        <w:spacing w:line="520" w:lineRule="exact"/>
        <w:ind w:firstLineChars="200" w:firstLine="480"/>
        <w:rPr>
          <w:rFonts w:ascii="楷体" w:eastAsia="楷体" w:hAnsi="楷体"/>
          <w:color w:val="000000"/>
          <w:sz w:val="24"/>
          <w:szCs w:val="24"/>
        </w:rPr>
      </w:pPr>
      <w:r w:rsidRPr="00353B2E">
        <w:rPr>
          <w:rFonts w:ascii="楷体" w:eastAsia="楷体" w:hAnsi="楷体" w:cs="楷体_GB2312" w:hint="eastAsia"/>
          <w:color w:val="000000"/>
          <w:sz w:val="24"/>
          <w:szCs w:val="24"/>
        </w:rPr>
        <w:t>（一）</w:t>
      </w:r>
      <w:r w:rsidR="003344CE" w:rsidRPr="00353B2E">
        <w:rPr>
          <w:rFonts w:ascii="楷体" w:eastAsia="楷体" w:hAnsi="楷体" w:cs="楷体_GB2312" w:hint="eastAsia"/>
          <w:color w:val="000000"/>
          <w:sz w:val="24"/>
          <w:szCs w:val="24"/>
        </w:rPr>
        <w:t>推进知识产权政策与保护体系建设</w:t>
      </w:r>
    </w:p>
    <w:p w:rsidR="003344CE" w:rsidRPr="001165E1" w:rsidRDefault="003344CE" w:rsidP="00353B2E">
      <w:pPr>
        <w:spacing w:line="520" w:lineRule="exact"/>
        <w:ind w:firstLineChars="200" w:firstLine="480"/>
        <w:rPr>
          <w:rFonts w:ascii="宋体" w:cs="宋体"/>
          <w:color w:val="000000"/>
          <w:sz w:val="24"/>
          <w:szCs w:val="24"/>
        </w:rPr>
      </w:pPr>
      <w:r w:rsidRPr="001165E1">
        <w:rPr>
          <w:rFonts w:ascii="宋体" w:hAnsi="宋体" w:cs="宋体" w:hint="eastAsia"/>
          <w:color w:val="000000"/>
          <w:sz w:val="24"/>
          <w:szCs w:val="24"/>
        </w:rPr>
        <w:t>完善知识产权政策体系建设，做好“十四五”知识产权专项规划编制工作。严格落实侵权惩罚性赔偿制度，严格落实侵犯知识产权犯罪入罪标准，强化打击侵权假冒犯罪制度建设。建立知识产权保护协作机制，完善知识产权保护跨部门会商机制，建立跨部门、跨区域执法协作联动机制，完善知识产权行政执法与刑事司法衔接机制。落实知识产权信用监管制度，加强知识产权诚信体系建设，建立知识产权案件行政与司法公开机制，强化知识产权服务行业信用监管。</w:t>
      </w:r>
    </w:p>
    <w:p w:rsidR="003344CE" w:rsidRPr="00353B2E" w:rsidRDefault="00353B2E" w:rsidP="00353B2E">
      <w:pPr>
        <w:spacing w:line="520" w:lineRule="exact"/>
        <w:ind w:firstLineChars="200" w:firstLine="480"/>
        <w:rPr>
          <w:rFonts w:ascii="楷体" w:eastAsia="楷体" w:hAnsi="楷体"/>
          <w:color w:val="000000"/>
          <w:sz w:val="24"/>
          <w:szCs w:val="24"/>
        </w:rPr>
      </w:pPr>
      <w:r w:rsidRPr="00353B2E">
        <w:rPr>
          <w:rFonts w:ascii="楷体" w:eastAsia="楷体" w:hAnsi="楷体" w:cs="楷体_GB2312" w:hint="eastAsia"/>
          <w:color w:val="000000"/>
          <w:sz w:val="24"/>
          <w:szCs w:val="24"/>
        </w:rPr>
        <w:t>（二）</w:t>
      </w:r>
      <w:r w:rsidR="003344CE" w:rsidRPr="00353B2E">
        <w:rPr>
          <w:rFonts w:ascii="楷体" w:eastAsia="楷体" w:hAnsi="楷体" w:cs="楷体_GB2312" w:hint="eastAsia"/>
          <w:color w:val="000000"/>
          <w:sz w:val="24"/>
          <w:szCs w:val="24"/>
        </w:rPr>
        <w:t>全面加强知识产权保护</w:t>
      </w:r>
    </w:p>
    <w:p w:rsidR="003344CE" w:rsidRPr="001165E1" w:rsidRDefault="003344CE" w:rsidP="00353B2E">
      <w:pPr>
        <w:spacing w:line="520" w:lineRule="exact"/>
        <w:ind w:firstLineChars="200" w:firstLine="480"/>
        <w:rPr>
          <w:rFonts w:ascii="宋体" w:cs="宋体"/>
          <w:color w:val="000000"/>
          <w:sz w:val="24"/>
          <w:szCs w:val="24"/>
        </w:rPr>
      </w:pPr>
      <w:r w:rsidRPr="001165E1">
        <w:rPr>
          <w:rFonts w:ascii="宋体" w:hAnsi="宋体" w:cs="宋体" w:hint="eastAsia"/>
          <w:color w:val="000000"/>
          <w:sz w:val="24"/>
          <w:szCs w:val="24"/>
        </w:rPr>
        <w:t>加大行政执法力度，坚持日常监管和集中专项整治相结合。加强对传统文化、传统知识、粮食、中药材等领域的知识产权保护，做好特殊标志、官方标志和地理标志的保护工作。建立健全电子商务平台、展会、专业市场、进出口等关键领域和环节的纠纷快速处理机制以及执法协作与监管机制，开展知识产权保护国际交流合作。</w:t>
      </w:r>
    </w:p>
    <w:p w:rsidR="003344CE" w:rsidRPr="001165E1" w:rsidRDefault="003344CE" w:rsidP="00353B2E">
      <w:pPr>
        <w:spacing w:line="520" w:lineRule="exact"/>
        <w:ind w:firstLineChars="200" w:firstLine="480"/>
        <w:rPr>
          <w:rFonts w:ascii="宋体" w:cs="宋体"/>
          <w:color w:val="000000"/>
          <w:sz w:val="24"/>
          <w:szCs w:val="24"/>
        </w:rPr>
      </w:pPr>
      <w:r w:rsidRPr="001165E1">
        <w:rPr>
          <w:rFonts w:ascii="宋体" w:hAnsi="宋体" w:cs="宋体" w:hint="eastAsia"/>
          <w:color w:val="000000"/>
          <w:sz w:val="24"/>
          <w:szCs w:val="24"/>
        </w:rPr>
        <w:t>强化司法保障措施，充分发挥知识产权司法保护主导作用。推动知识产权保护社会共治，促进建立知识产权纠纷多元化的解决机制。畅通知识产权投诉举报渠道</w:t>
      </w:r>
      <w:r w:rsidRPr="001165E1">
        <w:rPr>
          <w:rFonts w:ascii="宋体" w:hAnsi="宋体" w:cs="宋体"/>
          <w:color w:val="000000"/>
          <w:sz w:val="24"/>
          <w:szCs w:val="24"/>
        </w:rPr>
        <w:t>,</w:t>
      </w:r>
      <w:r w:rsidRPr="001165E1">
        <w:rPr>
          <w:rFonts w:ascii="宋体" w:hAnsi="宋体" w:cs="宋体" w:hint="eastAsia"/>
          <w:color w:val="000000"/>
          <w:sz w:val="24"/>
          <w:szCs w:val="24"/>
        </w:rPr>
        <w:t>落实举报奖励制度。加大执法监督力度，加强人大监督、政协民主监督、检察机关法律监督，落实执法信息公开制度，接受公众监督。</w:t>
      </w:r>
    </w:p>
    <w:p w:rsidR="003344CE" w:rsidRPr="00353B2E" w:rsidRDefault="00353B2E" w:rsidP="00353B2E">
      <w:pPr>
        <w:spacing w:line="520" w:lineRule="exact"/>
        <w:ind w:firstLineChars="200" w:firstLine="480"/>
        <w:rPr>
          <w:rFonts w:ascii="楷体" w:eastAsia="楷体" w:hAnsi="楷体"/>
          <w:color w:val="000000"/>
          <w:sz w:val="24"/>
          <w:szCs w:val="24"/>
        </w:rPr>
      </w:pPr>
      <w:r w:rsidRPr="00353B2E">
        <w:rPr>
          <w:rFonts w:ascii="楷体" w:eastAsia="楷体" w:hAnsi="楷体" w:cs="楷体_GB2312" w:hint="eastAsia"/>
          <w:color w:val="000000"/>
          <w:sz w:val="24"/>
          <w:szCs w:val="24"/>
        </w:rPr>
        <w:t>（三）</w:t>
      </w:r>
      <w:r w:rsidR="003344CE" w:rsidRPr="00353B2E">
        <w:rPr>
          <w:rFonts w:ascii="楷体" w:eastAsia="楷体" w:hAnsi="楷体" w:cs="楷体_GB2312" w:hint="eastAsia"/>
          <w:color w:val="000000"/>
          <w:sz w:val="24"/>
          <w:szCs w:val="24"/>
        </w:rPr>
        <w:t>提升知识产权转化运用和服务能力</w:t>
      </w:r>
    </w:p>
    <w:p w:rsidR="003344CE" w:rsidRPr="001165E1" w:rsidRDefault="003344CE" w:rsidP="00353B2E">
      <w:pPr>
        <w:spacing w:line="520" w:lineRule="exact"/>
        <w:ind w:firstLineChars="200" w:firstLine="480"/>
        <w:rPr>
          <w:rFonts w:ascii="宋体" w:cs="宋体"/>
          <w:color w:val="000000"/>
          <w:sz w:val="24"/>
          <w:szCs w:val="24"/>
        </w:rPr>
      </w:pPr>
      <w:r w:rsidRPr="001165E1">
        <w:rPr>
          <w:rFonts w:ascii="宋体" w:hAnsi="宋体" w:cs="宋体" w:hint="eastAsia"/>
          <w:color w:val="000000"/>
          <w:sz w:val="24"/>
          <w:szCs w:val="24"/>
        </w:rPr>
        <w:t>强化知识产权服务区域发展，深入推动知识产权深度融入开发区、工业园等园区产业发展。强化知识产权服务优势产业，发挥知识产权运营平台作用，围绕汽车、石</w:t>
      </w:r>
      <w:r w:rsidRPr="001165E1">
        <w:rPr>
          <w:rFonts w:ascii="宋体" w:hAnsi="宋体" w:cs="宋体" w:hint="eastAsia"/>
          <w:color w:val="000000"/>
          <w:sz w:val="24"/>
          <w:szCs w:val="24"/>
        </w:rPr>
        <w:lastRenderedPageBreak/>
        <w:t>化、食品、装备制造、医药健康产业和战略性新兴产业提供精准服务，开展专利导航、专利布局、专利挖掘和高价值专利培育等工作。强化知识产权转化运用，深入推进企业、高等院校和科研单位知识产权管理制度改革，形成科技创新、知识产权管理、科技成果转移转化相融合的统一协调机制。强化知识产权服务支撑，加快实现知识产权保护中心建设，深入推进知识产权“放管服”改革，优化政务服务。推进知识产权金融服务，加强政府、银行、保险机构、担保机构之间的沟通协调，促进知识产权质押融资、专利保险等业务开展。</w:t>
      </w:r>
    </w:p>
    <w:p w:rsidR="003344CE" w:rsidRPr="001165E1" w:rsidRDefault="00353B2E" w:rsidP="00353B2E">
      <w:pPr>
        <w:spacing w:line="520" w:lineRule="exact"/>
        <w:ind w:firstLineChars="200" w:firstLine="482"/>
        <w:rPr>
          <w:rFonts w:ascii="宋体" w:cs="宋体"/>
          <w:b/>
          <w:bCs/>
          <w:sz w:val="24"/>
          <w:szCs w:val="24"/>
        </w:rPr>
      </w:pPr>
      <w:r>
        <w:rPr>
          <w:rFonts w:ascii="宋体" w:hAnsi="宋体" w:cs="宋体" w:hint="eastAsia"/>
          <w:b/>
          <w:bCs/>
          <w:sz w:val="24"/>
          <w:szCs w:val="24"/>
        </w:rPr>
        <w:t>四、</w:t>
      </w:r>
      <w:r w:rsidR="003344CE" w:rsidRPr="001165E1">
        <w:rPr>
          <w:rFonts w:ascii="宋体" w:hAnsi="宋体" w:cs="宋体" w:hint="eastAsia"/>
          <w:b/>
          <w:bCs/>
          <w:sz w:val="24"/>
          <w:szCs w:val="24"/>
        </w:rPr>
        <w:t>保障措施</w:t>
      </w:r>
    </w:p>
    <w:p w:rsidR="003344CE" w:rsidRPr="001165E1" w:rsidRDefault="003344CE" w:rsidP="00353B2E">
      <w:pPr>
        <w:spacing w:line="520" w:lineRule="exact"/>
        <w:ind w:firstLineChars="200" w:firstLine="480"/>
        <w:rPr>
          <w:rFonts w:ascii="宋体" w:cs="宋体"/>
          <w:color w:val="000000"/>
          <w:sz w:val="24"/>
          <w:szCs w:val="24"/>
        </w:rPr>
      </w:pPr>
      <w:r w:rsidRPr="001165E1">
        <w:rPr>
          <w:rFonts w:ascii="宋体" w:hAnsi="宋体" w:cs="宋体" w:hint="eastAsia"/>
          <w:color w:val="000000"/>
          <w:sz w:val="24"/>
          <w:szCs w:val="24"/>
        </w:rPr>
        <w:t>为确保各项举措顺利、有序、深入落实，《实施方案》明确了加强组织领导、考核评价和宣传引导的保障措施。</w:t>
      </w:r>
    </w:p>
    <w:p w:rsidR="003344CE" w:rsidRPr="001165E1" w:rsidRDefault="003344CE" w:rsidP="00353B2E">
      <w:pPr>
        <w:numPr>
          <w:ilvl w:val="0"/>
          <w:numId w:val="3"/>
        </w:numPr>
        <w:spacing w:line="520" w:lineRule="exact"/>
        <w:ind w:left="2" w:firstLineChars="200" w:firstLine="480"/>
        <w:rPr>
          <w:rFonts w:ascii="宋体" w:cs="宋体"/>
          <w:color w:val="000000"/>
          <w:sz w:val="24"/>
          <w:szCs w:val="24"/>
        </w:rPr>
      </w:pPr>
      <w:r w:rsidRPr="001165E1">
        <w:rPr>
          <w:rFonts w:ascii="宋体" w:hAnsi="宋体" w:cs="宋体" w:hint="eastAsia"/>
          <w:color w:val="000000"/>
          <w:sz w:val="24"/>
          <w:szCs w:val="24"/>
        </w:rPr>
        <w:t>全面加强党对知识产权工作的领导，深入贯彻党中央、国务院以及省市两级党委、政府的决策部署，落实属地责任，强化体制机制建设，制定配套措施，加大经费投入，确保各项工作落实到位。</w:t>
      </w:r>
    </w:p>
    <w:p w:rsidR="003344CE" w:rsidRPr="001165E1" w:rsidRDefault="003344CE" w:rsidP="00353B2E">
      <w:pPr>
        <w:numPr>
          <w:ilvl w:val="0"/>
          <w:numId w:val="3"/>
        </w:numPr>
        <w:spacing w:line="520" w:lineRule="exact"/>
        <w:ind w:left="0" w:firstLineChars="200" w:firstLine="480"/>
        <w:rPr>
          <w:rFonts w:ascii="宋体" w:cs="宋体"/>
          <w:color w:val="000000"/>
          <w:sz w:val="24"/>
          <w:szCs w:val="24"/>
        </w:rPr>
      </w:pPr>
      <w:r w:rsidRPr="001165E1">
        <w:rPr>
          <w:rFonts w:ascii="宋体" w:hAnsi="宋体" w:cs="宋体" w:hint="eastAsia"/>
          <w:color w:val="000000"/>
          <w:sz w:val="24"/>
          <w:szCs w:val="24"/>
        </w:rPr>
        <w:t>加强考核评价，建立健全考核评价制度，将知识产权保护纳入各级党委、政府绩效考核和营商环境评价体系。</w:t>
      </w:r>
    </w:p>
    <w:p w:rsidR="003344CE" w:rsidRPr="001165E1" w:rsidRDefault="003344CE" w:rsidP="00353B2E">
      <w:pPr>
        <w:numPr>
          <w:ilvl w:val="0"/>
          <w:numId w:val="3"/>
        </w:numPr>
        <w:spacing w:line="520" w:lineRule="exact"/>
        <w:ind w:left="0" w:firstLineChars="200" w:firstLine="480"/>
        <w:rPr>
          <w:rFonts w:ascii="宋体" w:cs="宋体"/>
          <w:color w:val="000000"/>
          <w:sz w:val="24"/>
          <w:szCs w:val="24"/>
        </w:rPr>
      </w:pPr>
      <w:r w:rsidRPr="001165E1">
        <w:rPr>
          <w:rFonts w:ascii="宋体" w:hAnsi="宋体" w:cs="宋体" w:hint="eastAsia"/>
          <w:color w:val="000000"/>
          <w:sz w:val="24"/>
          <w:szCs w:val="24"/>
        </w:rPr>
        <w:t>加强宣传引导，加大知识产权公益普法宣传工作力度，开展知识产权进企业、进单位、进社区、进学校、进科研单位、进网络等活动，不断提高全社会知识产权意识。</w:t>
      </w:r>
    </w:p>
    <w:p w:rsidR="003344CE" w:rsidRDefault="003344CE" w:rsidP="00353B2E">
      <w:pPr>
        <w:spacing w:line="520" w:lineRule="exact"/>
        <w:ind w:left="2" w:firstLineChars="200" w:firstLine="640"/>
        <w:rPr>
          <w:rFonts w:ascii="仿宋_GB2312" w:eastAsia="仿宋_GB2312"/>
          <w:sz w:val="32"/>
          <w:szCs w:val="32"/>
        </w:rPr>
      </w:pPr>
    </w:p>
    <w:sectPr w:rsidR="003344CE" w:rsidSect="009F6D57">
      <w:footerReference w:type="default" r:id="rId7"/>
      <w:pgSz w:w="11906" w:h="16838"/>
      <w:pgMar w:top="2098" w:right="1474" w:bottom="1985" w:left="1588"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CE" w:rsidRDefault="003344CE" w:rsidP="009F6D57">
      <w:r>
        <w:separator/>
      </w:r>
    </w:p>
  </w:endnote>
  <w:endnote w:type="continuationSeparator" w:id="0">
    <w:p w:rsidR="003344CE" w:rsidRDefault="003344CE" w:rsidP="009F6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CE" w:rsidRDefault="00FE5E4A">
    <w:pPr>
      <w:pStyle w:val="a3"/>
      <w:framePr w:wrap="auto" w:vAnchor="text" w:hAnchor="margin" w:xAlign="outside" w:y="1"/>
      <w:jc w:val="right"/>
      <w:rPr>
        <w:rStyle w:val="a4"/>
        <w:rFonts w:ascii="宋体"/>
        <w:sz w:val="28"/>
        <w:szCs w:val="28"/>
      </w:rPr>
    </w:pPr>
    <w:r>
      <w:rPr>
        <w:rStyle w:val="a4"/>
        <w:rFonts w:ascii="宋体" w:hAnsi="宋体" w:cs="宋体"/>
        <w:sz w:val="28"/>
        <w:szCs w:val="28"/>
      </w:rPr>
      <w:fldChar w:fldCharType="begin"/>
    </w:r>
    <w:r w:rsidR="003344CE">
      <w:rPr>
        <w:rStyle w:val="a4"/>
        <w:rFonts w:ascii="宋体" w:hAnsi="宋体" w:cs="宋体"/>
        <w:sz w:val="28"/>
        <w:szCs w:val="28"/>
      </w:rPr>
      <w:instrText xml:space="preserve">PAGE  </w:instrText>
    </w:r>
    <w:r>
      <w:rPr>
        <w:rStyle w:val="a4"/>
        <w:rFonts w:ascii="宋体" w:hAnsi="宋体" w:cs="宋体"/>
        <w:sz w:val="28"/>
        <w:szCs w:val="28"/>
      </w:rPr>
      <w:fldChar w:fldCharType="separate"/>
    </w:r>
    <w:r w:rsidR="00091E03">
      <w:rPr>
        <w:rStyle w:val="a4"/>
        <w:rFonts w:ascii="宋体" w:hAnsi="宋体" w:cs="宋体"/>
        <w:noProof/>
        <w:sz w:val="28"/>
        <w:szCs w:val="28"/>
      </w:rPr>
      <w:t>- 1 -</w:t>
    </w:r>
    <w:r>
      <w:rPr>
        <w:rStyle w:val="a4"/>
        <w:rFonts w:ascii="宋体" w:hAnsi="宋体" w:cs="宋体"/>
        <w:sz w:val="28"/>
        <w:szCs w:val="28"/>
      </w:rPr>
      <w:fldChar w:fldCharType="end"/>
    </w:r>
  </w:p>
  <w:p w:rsidR="003344CE" w:rsidRDefault="003344C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CE" w:rsidRDefault="003344CE" w:rsidP="009F6D57">
      <w:r>
        <w:separator/>
      </w:r>
    </w:p>
  </w:footnote>
  <w:footnote w:type="continuationSeparator" w:id="0">
    <w:p w:rsidR="003344CE" w:rsidRDefault="003344CE" w:rsidP="009F6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99B"/>
    <w:multiLevelType w:val="hybridMultilevel"/>
    <w:tmpl w:val="EC2027DC"/>
    <w:lvl w:ilvl="0" w:tplc="57F25DFC">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45B57FC5"/>
    <w:multiLevelType w:val="hybridMultilevel"/>
    <w:tmpl w:val="A19C7DEA"/>
    <w:lvl w:ilvl="0" w:tplc="6442CA3A">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5BA76191"/>
    <w:multiLevelType w:val="hybridMultilevel"/>
    <w:tmpl w:val="AF48F4BE"/>
    <w:lvl w:ilvl="0" w:tplc="FB94F050">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8FC05A2"/>
    <w:rsid w:val="00064FE4"/>
    <w:rsid w:val="00091E03"/>
    <w:rsid w:val="000B192C"/>
    <w:rsid w:val="000E1F86"/>
    <w:rsid w:val="000F4F44"/>
    <w:rsid w:val="001007F9"/>
    <w:rsid w:val="001165E1"/>
    <w:rsid w:val="00124DDB"/>
    <w:rsid w:val="001E32F6"/>
    <w:rsid w:val="001F7CA4"/>
    <w:rsid w:val="002649C2"/>
    <w:rsid w:val="002F298B"/>
    <w:rsid w:val="00317122"/>
    <w:rsid w:val="00322CE7"/>
    <w:rsid w:val="003344CE"/>
    <w:rsid w:val="00352C2B"/>
    <w:rsid w:val="00353B2E"/>
    <w:rsid w:val="00357A58"/>
    <w:rsid w:val="00390C81"/>
    <w:rsid w:val="003A7A00"/>
    <w:rsid w:val="003C0971"/>
    <w:rsid w:val="003C44C6"/>
    <w:rsid w:val="00422F81"/>
    <w:rsid w:val="00445A24"/>
    <w:rsid w:val="00456F28"/>
    <w:rsid w:val="0046625B"/>
    <w:rsid w:val="00494F0B"/>
    <w:rsid w:val="004C7826"/>
    <w:rsid w:val="004F4E19"/>
    <w:rsid w:val="005932A4"/>
    <w:rsid w:val="005F1AE1"/>
    <w:rsid w:val="006962C0"/>
    <w:rsid w:val="006B7431"/>
    <w:rsid w:val="006D2E3B"/>
    <w:rsid w:val="006F7D50"/>
    <w:rsid w:val="007E16FA"/>
    <w:rsid w:val="0080588A"/>
    <w:rsid w:val="008224F1"/>
    <w:rsid w:val="00882A93"/>
    <w:rsid w:val="009F6D57"/>
    <w:rsid w:val="00A2314E"/>
    <w:rsid w:val="00A57FE5"/>
    <w:rsid w:val="00A775A5"/>
    <w:rsid w:val="00AA0592"/>
    <w:rsid w:val="00B11757"/>
    <w:rsid w:val="00B90F61"/>
    <w:rsid w:val="00BA396F"/>
    <w:rsid w:val="00BD75C6"/>
    <w:rsid w:val="00C0737A"/>
    <w:rsid w:val="00C12879"/>
    <w:rsid w:val="00C633F2"/>
    <w:rsid w:val="00C834D2"/>
    <w:rsid w:val="00CA14D9"/>
    <w:rsid w:val="00CB5147"/>
    <w:rsid w:val="00CF221C"/>
    <w:rsid w:val="00D30126"/>
    <w:rsid w:val="00D4084C"/>
    <w:rsid w:val="00DC2375"/>
    <w:rsid w:val="00DC7883"/>
    <w:rsid w:val="00DF2BD4"/>
    <w:rsid w:val="00E03C1E"/>
    <w:rsid w:val="00E13452"/>
    <w:rsid w:val="00E324EF"/>
    <w:rsid w:val="00E95525"/>
    <w:rsid w:val="00F572EA"/>
    <w:rsid w:val="00F62B38"/>
    <w:rsid w:val="00F92E8A"/>
    <w:rsid w:val="00FC4F82"/>
    <w:rsid w:val="00FE5E4A"/>
    <w:rsid w:val="13182632"/>
    <w:rsid w:val="17CE4023"/>
    <w:rsid w:val="34AC4382"/>
    <w:rsid w:val="369A03C2"/>
    <w:rsid w:val="37D76233"/>
    <w:rsid w:val="3A233F5C"/>
    <w:rsid w:val="47020DC5"/>
    <w:rsid w:val="4F5E2F20"/>
    <w:rsid w:val="58FC05A2"/>
    <w:rsid w:val="7D4F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F6D5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F6D5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A57FE5"/>
    <w:rPr>
      <w:sz w:val="18"/>
      <w:szCs w:val="18"/>
    </w:rPr>
  </w:style>
  <w:style w:type="character" w:styleId="a4">
    <w:name w:val="page number"/>
    <w:basedOn w:val="a0"/>
    <w:uiPriority w:val="99"/>
    <w:rsid w:val="009F6D57"/>
  </w:style>
  <w:style w:type="paragraph" w:styleId="a5">
    <w:name w:val="header"/>
    <w:basedOn w:val="a"/>
    <w:link w:val="Char0"/>
    <w:uiPriority w:val="99"/>
    <w:semiHidden/>
    <w:rsid w:val="00DC78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DC7883"/>
    <w:rPr>
      <w:sz w:val="18"/>
      <w:szCs w:val="18"/>
    </w:rPr>
  </w:style>
  <w:style w:type="paragraph" w:styleId="a6">
    <w:name w:val="List Paragraph"/>
    <w:basedOn w:val="a"/>
    <w:uiPriority w:val="99"/>
    <w:qFormat/>
    <w:rsid w:val="00317122"/>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1964</Words>
  <Characters>24</Characters>
  <Application>Microsoft Office Word</Application>
  <DocSecurity>0</DocSecurity>
  <Lines>1</Lines>
  <Paragraphs>3</Paragraphs>
  <ScaleCrop>false</ScaleCrop>
  <Company>微软中国</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吉林市市场监督管理局</dc:title>
  <dc:creator>Administrator</dc:creator>
  <cp:lastModifiedBy>xbany</cp:lastModifiedBy>
  <cp:revision>5</cp:revision>
  <cp:lastPrinted>2019-02-22T05:34:00Z</cp:lastPrinted>
  <dcterms:created xsi:type="dcterms:W3CDTF">2021-06-29T03:23:00Z</dcterms:created>
  <dcterms:modified xsi:type="dcterms:W3CDTF">2021-06-30T06:43:00Z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