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ajorEastAsia" w:hAnsiTheme="majorEastAsia" w:eastAsiaTheme="majorEastAsia" w:cstheme="majorEastAsia"/>
          <w:b/>
          <w:sz w:val="44"/>
          <w:szCs w:val="44"/>
        </w:rPr>
      </w:pPr>
    </w:p>
    <w:p>
      <w:pPr>
        <w:spacing w:line="560" w:lineRule="exact"/>
        <w:jc w:val="center"/>
        <w:rPr>
          <w:rFonts w:asciiTheme="majorEastAsia" w:hAnsiTheme="majorEastAsia" w:eastAsiaTheme="majorEastAsia" w:cstheme="majorEastAsia"/>
          <w:b/>
          <w:sz w:val="44"/>
          <w:szCs w:val="44"/>
        </w:rPr>
      </w:pPr>
      <w:r>
        <w:rPr>
          <w:rFonts w:hint="eastAsia" w:asciiTheme="majorEastAsia" w:hAnsiTheme="majorEastAsia" w:eastAsiaTheme="majorEastAsia" w:cstheme="majorEastAsia"/>
          <w:b/>
          <w:sz w:val="44"/>
          <w:szCs w:val="44"/>
        </w:rPr>
        <w:t>吉林市发改委2018年</w:t>
      </w:r>
    </w:p>
    <w:p>
      <w:pPr>
        <w:spacing w:line="560" w:lineRule="exact"/>
        <w:jc w:val="center"/>
        <w:rPr>
          <w:rFonts w:ascii="黑体" w:hAnsi="黑体" w:eastAsia="黑体"/>
          <w:b/>
          <w:sz w:val="44"/>
          <w:szCs w:val="44"/>
        </w:rPr>
      </w:pPr>
      <w:r>
        <w:rPr>
          <w:rFonts w:hint="eastAsia" w:asciiTheme="majorEastAsia" w:hAnsiTheme="majorEastAsia" w:eastAsiaTheme="majorEastAsia" w:cstheme="majorEastAsia"/>
          <w:b/>
          <w:sz w:val="44"/>
          <w:szCs w:val="44"/>
        </w:rPr>
        <w:t>政府信息公开工作年度报告</w:t>
      </w:r>
    </w:p>
    <w:p>
      <w:pPr>
        <w:spacing w:line="560" w:lineRule="exact"/>
        <w:jc w:val="center"/>
        <w:rPr>
          <w:rFonts w:ascii="黑体" w:hAnsi="黑体" w:eastAsia="黑体"/>
          <w:sz w:val="32"/>
          <w:szCs w:val="32"/>
        </w:rPr>
      </w:pPr>
    </w:p>
    <w:p>
      <w:pPr>
        <w:spacing w:line="560" w:lineRule="exact"/>
        <w:jc w:val="center"/>
        <w:rPr>
          <w:rFonts w:ascii="仿宋" w:hAnsi="仿宋" w:eastAsia="仿宋"/>
          <w:sz w:val="32"/>
          <w:szCs w:val="32"/>
        </w:rPr>
      </w:pPr>
      <w:r>
        <w:rPr>
          <w:rFonts w:hint="eastAsia" w:ascii="仿宋" w:hAnsi="仿宋" w:eastAsia="仿宋"/>
          <w:sz w:val="32"/>
          <w:szCs w:val="32"/>
        </w:rPr>
        <w:t>（2019年1月10日）</w:t>
      </w:r>
    </w:p>
    <w:p>
      <w:pPr>
        <w:spacing w:line="560" w:lineRule="exact"/>
        <w:rPr>
          <w:rFonts w:ascii="仿宋" w:hAnsi="仿宋" w:eastAsia="仿宋"/>
          <w:sz w:val="32"/>
          <w:szCs w:val="32"/>
        </w:rPr>
      </w:pPr>
    </w:p>
    <w:p>
      <w:pPr>
        <w:spacing w:line="560" w:lineRule="exact"/>
        <w:ind w:firstLine="640" w:firstLineChars="200"/>
        <w:rPr>
          <w:rFonts w:ascii="仿宋" w:hAnsi="仿宋" w:eastAsia="仿宋"/>
          <w:sz w:val="32"/>
          <w:szCs w:val="32"/>
        </w:rPr>
      </w:pPr>
      <w:r>
        <w:rPr>
          <w:rFonts w:hint="eastAsia" w:ascii="仿宋" w:hAnsi="仿宋" w:eastAsia="仿宋"/>
          <w:sz w:val="32"/>
          <w:szCs w:val="32"/>
        </w:rPr>
        <w:t>根据《中华人民共和国政府信息公开条例》和吉林市人民政府政务公开办公室《关于做好2018年政府信息公开年度报告编制公布工作的通知》（吉市政公办发[2018]29号）精神，结合实际，现编制吉林市发改委2018年政府信息公开工作年度报告并予以公布。本年报主要包括基本工作情况、主动公开政府信息、回应解读、依申请公开政府信息、行政复议诉讼和举报投诉、机构建设及保障经费和培训会议情况。落实上级重要文件通知情况以及存在的问题和工作打算等八部分内容。</w:t>
      </w:r>
      <w:r>
        <w:rPr>
          <w:rFonts w:hint="eastAsia" w:ascii="仿宋" w:hAnsi="仿宋" w:eastAsia="仿宋"/>
          <w:bCs/>
          <w:sz w:val="32"/>
          <w:szCs w:val="32"/>
        </w:rPr>
        <w:t>年报中所列数据的统计期限自2018年1月1日起至2018年12月31日止。</w:t>
      </w:r>
      <w:r>
        <w:rPr>
          <w:rFonts w:hint="eastAsia" w:ascii="仿宋" w:hAnsi="仿宋" w:eastAsia="仿宋"/>
          <w:sz w:val="32"/>
          <w:szCs w:val="32"/>
        </w:rPr>
        <w:t>年度报告通过吉林市人民政府门户网站政府信息公开专栏发布（http://xxgk.jlcity.gov.cn/jlsndbg/）向社会公开。欢迎社会各界进行监督，并提出宝贵意见。如对本年报有疑问、意见和建议，请联系吉林市发改委行政审批办，地址：吉林市解放西路16号市政务服务中心3楼，邮编：132011，电话：0432-64820086，电子邮箱：</w:t>
      </w:r>
      <w:r>
        <w:fldChar w:fldCharType="begin"/>
      </w:r>
      <w:r>
        <w:instrText xml:space="preserve"> HYPERLINK "mailto:jlsfgwspb@163.com" </w:instrText>
      </w:r>
      <w:r>
        <w:fldChar w:fldCharType="separate"/>
      </w:r>
      <w:r>
        <w:rPr>
          <w:rStyle w:val="12"/>
          <w:rFonts w:hint="eastAsia" w:ascii="仿宋" w:hAnsi="仿宋" w:eastAsia="仿宋"/>
          <w:sz w:val="32"/>
          <w:szCs w:val="32"/>
        </w:rPr>
        <w:t>jlsfgwspb@163.com</w:t>
      </w:r>
      <w:r>
        <w:rPr>
          <w:rStyle w:val="12"/>
          <w:rFonts w:hint="eastAsia" w:ascii="仿宋" w:hAnsi="仿宋" w:eastAsia="仿宋"/>
          <w:sz w:val="32"/>
          <w:szCs w:val="32"/>
        </w:rPr>
        <w:fldChar w:fldCharType="end"/>
      </w:r>
      <w:r>
        <w:rPr>
          <w:rFonts w:hint="eastAsia" w:ascii="仿宋" w:hAnsi="仿宋" w:eastAsia="仿宋"/>
          <w:sz w:val="32"/>
          <w:szCs w:val="32"/>
        </w:rPr>
        <w:t>。</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一、基本工作完成情况</w:t>
      </w:r>
    </w:p>
    <w:p>
      <w:pPr>
        <w:spacing w:beforeLines="50"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2018年，吉林市发改委认真贯彻落实吉林市政务公开办公室对政府信息公开工作的要求，切实加大政府信息公开力度，全方位推进政府信息公开工作，并取得了一定成效。</w:t>
      </w:r>
    </w:p>
    <w:p>
      <w:pPr>
        <w:spacing w:beforeLines="50"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（一）及时调整信息公开领导小组，</w:t>
      </w:r>
      <w:r>
        <w:rPr>
          <w:rFonts w:hint="eastAsia" w:ascii="仿宋" w:hAnsi="仿宋" w:eastAsia="仿宋"/>
          <w:sz w:val="32"/>
          <w:szCs w:val="32"/>
        </w:rPr>
        <w:t>细化分解任务。年初，我委调整充实了委政务公开工作领导小组成员，一把手亲自担任领导小组组长，分管副主任担任副组长，其他分管业务领导以及涉及发展规划、项目审批、社会民生等相关处室的负责人为成员；领导小组下设办公室，负责推进、指导、协调、监督本部门所属各处（室）及政务大厅窗口的政务公开工作，日常具体工作的组织和协调由审批办负责。继续发挥政策解读舆情回应机构作用，建立重要政策解读舆情回应机制，跟踪关注涉及本部门的社会关切的舆情。</w:t>
      </w:r>
    </w:p>
    <w:p>
      <w:pPr>
        <w:spacing w:beforeLines="50" w:line="560" w:lineRule="exact"/>
        <w:ind w:firstLine="640" w:firstLineChars="200"/>
        <w:jc w:val="left"/>
        <w:rPr>
          <w:rFonts w:hint="eastAsia" w:ascii="仿宋" w:hAnsi="仿宋" w:eastAsia="仿宋"/>
          <w:sz w:val="32"/>
          <w:szCs w:val="32"/>
        </w:rPr>
      </w:pPr>
      <w:r>
        <w:rPr>
          <w:rFonts w:hint="eastAsia" w:ascii="仿宋" w:hAnsi="仿宋" w:eastAsia="仿宋"/>
          <w:sz w:val="32"/>
          <w:szCs w:val="32"/>
        </w:rPr>
        <w:t>建立政府信息公开培训机制，2018年重点开展了依申请政府信息公开制度解读培训。对重要事项采取以会代训等措施加以部署和落实。继续抓好委政府信息公开工作联络员制度，由各相关专业处（室）指定一名工作人员作为联络员，负责提出、整理本业务处（室）内需公开的政府信息，经处（室）负责人及分管主任同意并经委保密工作领导小组审核后向委政务公开工作领导小组办公室报送主动公开信息，市发改委政务公开领导小组负责监督落实情况并将完成情况与年终绩效考核评优相结合。</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二）完善落实政府信息公开制度。将市发改委历年来政府信息公开工作制度整理汇总，形成制度汇编。根据新形势、新要求完善补充政务公开相关制度。建立健全考核机制，监督政府信息公开工作制度的执行情况，推动制度落实，为政府信息公开工作常态化机制建设奠定了坚实基础。</w:t>
      </w:r>
    </w:p>
    <w:p>
      <w:pPr>
        <w:spacing w:line="560" w:lineRule="exact"/>
        <w:ind w:firstLine="640" w:firstLineChars="200"/>
        <w:rPr>
          <w:rFonts w:ascii="仿宋" w:hAnsi="仿宋" w:eastAsia="仿宋" w:cs="仿宋"/>
          <w:sz w:val="32"/>
          <w:szCs w:val="32"/>
        </w:rPr>
      </w:pPr>
      <w:r>
        <w:rPr>
          <w:rFonts w:hint="eastAsia" w:ascii="仿宋" w:hAnsi="仿宋" w:eastAsia="仿宋" w:cs="楷体"/>
          <w:bCs/>
          <w:sz w:val="32"/>
          <w:szCs w:val="32"/>
        </w:rPr>
        <w:t>（三）落实“只跑一次”改革要求，编制办事指南。</w:t>
      </w:r>
      <w:r>
        <w:rPr>
          <w:rFonts w:hint="eastAsia" w:ascii="仿宋" w:hAnsi="仿宋" w:eastAsia="仿宋" w:cs="仿宋"/>
          <w:sz w:val="32"/>
          <w:szCs w:val="32"/>
        </w:rPr>
        <w:t>按照“只跑一次”改革工作要求，更新市本级43项办事服务指南。</w:t>
      </w:r>
      <w:r>
        <w:rPr>
          <w:rFonts w:hint="eastAsia" w:ascii="仿宋" w:hAnsi="仿宋" w:eastAsia="仿宋" w:cs="仿宋"/>
          <w:sz w:val="32"/>
          <w:szCs w:val="32"/>
        </w:rPr>
        <w:t>在政务信息公开目录中，对涉及公民、法人或者其他组织切身利益的；需要社会公众广泛知晓或者参与的；反映我委机构设置、职能、办事程序等情况的；其他依照法律、法规和国家有关规定应当主动公开的内容进行了主动公开。</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四）充分发挥吉林市扶贫网的作用。及时发布全市扶贫工作动态及政策信息，同时，通过政务公开网将年度受理的审批事项办理情况公示，公布政策信息及规范性文件等。对于一些全市关注的重大信息，如国民经济和社会发展综合计划规划，通过网络及江城日报、晚报等报刊同时发布。</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（五）完善政府信息查阅点建设。补充完善委内政府信息公开查阅点资料；同时及时将发改工作中形成的规范性文件、项目批复信息及涉及民生的其他政府信息向政务公开办政府信息公共查阅点报送。</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六）扎实开展依申请、重点领域政府信息公开。健全吉林市发改委政府信息公开依申请公开工作制度，规范流程，用制度及流程保证信息公开的及时性，对符合公开条件的信息全部及时答复，使群众满意。同时，按照2018年全市重点领域工作分工要求，及时在政务公开网上</w:t>
      </w:r>
      <w:r>
        <w:rPr>
          <w:rFonts w:hint="eastAsia" w:ascii="仿宋" w:hAnsi="仿宋" w:eastAsia="仿宋" w:cs="仿宋"/>
          <w:sz w:val="32"/>
          <w:szCs w:val="32"/>
        </w:rPr>
        <w:t>公布财政预算使用、人大政协提案建议答复等情况。</w:t>
      </w:r>
    </w:p>
    <w:p>
      <w:pPr>
        <w:widowControl/>
        <w:spacing w:line="560" w:lineRule="exact"/>
        <w:ind w:firstLine="624"/>
        <w:rPr>
          <w:rFonts w:ascii="仿宋" w:hAnsi="仿宋" w:eastAsia="仿宋"/>
          <w:sz w:val="32"/>
          <w:szCs w:val="32"/>
        </w:rPr>
      </w:pPr>
      <w:r>
        <w:rPr>
          <w:rFonts w:hint="eastAsia" w:ascii="仿宋" w:hAnsi="仿宋" w:eastAsia="仿宋"/>
          <w:sz w:val="32"/>
          <w:szCs w:val="32"/>
        </w:rPr>
        <w:t xml:space="preserve"> (七)其他需要说明的情况。2018年度，继续对市发改委权力清单、责任清单实行动态管理，并将调整后的权责清单及时发布，接受社会各届监督。另外，还将市发改委2017年度财政拨款支出预算表及“三公”经费预算统计表等相关信息在财政局专网上公开。</w:t>
      </w:r>
    </w:p>
    <w:p>
      <w:pPr>
        <w:widowControl/>
        <w:spacing w:line="560" w:lineRule="exact"/>
        <w:ind w:firstLine="624"/>
        <w:rPr>
          <w:rFonts w:ascii="仿宋" w:hAnsi="仿宋" w:eastAsia="仿宋"/>
          <w:b/>
          <w:sz w:val="32"/>
          <w:szCs w:val="32"/>
        </w:rPr>
      </w:pPr>
      <w:r>
        <w:rPr>
          <w:rFonts w:hint="eastAsia" w:ascii="仿宋" w:hAnsi="仿宋" w:eastAsia="仿宋" w:cs="仿宋"/>
          <w:sz w:val="32"/>
          <w:szCs w:val="32"/>
        </w:rPr>
        <w:t xml:space="preserve"> </w:t>
      </w:r>
      <w:r>
        <w:rPr>
          <w:rFonts w:hint="eastAsia" w:ascii="仿宋" w:hAnsi="仿宋" w:eastAsia="仿宋"/>
          <w:b/>
          <w:sz w:val="32"/>
          <w:szCs w:val="32"/>
        </w:rPr>
        <w:t>二、主动公开政府信息工作情况</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（一）主动公开政府信息数。2018年通过委网站及市政务公开网主动公开政府信息数55条。</w:t>
      </w:r>
    </w:p>
    <w:p>
      <w:pPr>
        <w:spacing w:line="560" w:lineRule="exact"/>
        <w:ind w:firstLine="640" w:firstLineChars="200"/>
        <w:rPr>
          <w:rFonts w:ascii="仿宋" w:hAnsi="仿宋" w:eastAsia="仿宋"/>
          <w:b/>
          <w:sz w:val="32"/>
          <w:szCs w:val="32"/>
        </w:rPr>
      </w:pPr>
      <w:r>
        <w:rPr>
          <w:rFonts w:hint="eastAsia" w:ascii="仿宋" w:hAnsi="仿宋" w:eastAsia="仿宋"/>
          <w:sz w:val="32"/>
          <w:szCs w:val="32"/>
        </w:rPr>
        <w:t>（二）通过不同渠道和方式公开政府信息。目前我委公开政府信息的渠道和方式，主要是依靠委网站和市政务公开网。</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三、回应解读工作情况</w:t>
      </w:r>
    </w:p>
    <w:p>
      <w:pPr>
        <w:spacing w:line="560" w:lineRule="exact"/>
        <w:ind w:firstLine="640" w:firstLineChars="200"/>
        <w:rPr>
          <w:rFonts w:hint="eastAsia" w:ascii="仿宋" w:hAnsi="仿宋" w:eastAsia="仿宋"/>
          <w:sz w:val="32"/>
          <w:szCs w:val="32"/>
        </w:rPr>
      </w:pPr>
      <w:r>
        <w:rPr>
          <w:rFonts w:hint="eastAsia" w:ascii="仿宋" w:hAnsi="仿宋" w:eastAsia="仿宋"/>
          <w:sz w:val="32"/>
          <w:szCs w:val="32"/>
        </w:rPr>
        <w:t>2018年，未发生需我委回应解读的公众关注热点或重点舆情事项。</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四、依申请公开政府信息工作情况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2018年，群众向市发改委提出的政府信息公开申请总数为3件，当面申请2件，信函申请1件，其中涉密1件，对未涉密信息申请全部同意公开并按时答复办结，不收取任何的检索、复制、邮寄等费用。</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五、行政复议、诉讼和举报投诉情况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截止2018年（含本年度）末，全年未收到与信息公开相关的行政复议、诉讼和举报投诉情况。</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六、机构建设、保障经费和培训会议情况</w:t>
      </w:r>
    </w:p>
    <w:p>
      <w:pPr>
        <w:spacing w:line="560" w:lineRule="exact"/>
        <w:ind w:firstLine="640" w:firstLineChars="200"/>
        <w:rPr>
          <w:rFonts w:ascii="仿宋" w:hAnsi="仿宋" w:eastAsia="仿宋"/>
          <w:sz w:val="32"/>
          <w:szCs w:val="32"/>
        </w:rPr>
      </w:pPr>
      <w:r>
        <w:rPr>
          <w:rFonts w:hint="eastAsia" w:ascii="仿宋" w:hAnsi="仿宋" w:eastAsia="仿宋"/>
          <w:sz w:val="32"/>
          <w:szCs w:val="32"/>
        </w:rPr>
        <w:t>2018年我委设置政府信息公开查阅点数2个，兼职从事政府信息公开工作人员数3人。全年开展政府信息公开培训1次，接受培训人员2人。</w:t>
      </w:r>
      <w:r>
        <w:rPr>
          <w:rFonts w:hint="eastAsia" w:ascii="仿宋" w:hAnsi="仿宋" w:eastAsia="仿宋"/>
          <w:color w:val="000000"/>
          <w:kern w:val="0"/>
          <w:sz w:val="32"/>
          <w:szCs w:val="32"/>
        </w:rPr>
        <w:t>召开政府信息公开工作会议或专题会议1次</w:t>
      </w:r>
      <w:r>
        <w:rPr>
          <w:rFonts w:hint="eastAsia" w:ascii="仿宋" w:hAnsi="仿宋" w:eastAsia="仿宋"/>
          <w:sz w:val="32"/>
          <w:szCs w:val="32"/>
        </w:rPr>
        <w:t>。</w:t>
      </w:r>
    </w:p>
    <w:p>
      <w:pPr>
        <w:spacing w:line="560" w:lineRule="exact"/>
        <w:ind w:firstLine="640" w:firstLineChars="200"/>
        <w:rPr>
          <w:rFonts w:ascii="仿宋" w:hAnsi="仿宋" w:eastAsia="仿宋"/>
          <w:b/>
          <w:sz w:val="32"/>
          <w:szCs w:val="32"/>
        </w:rPr>
      </w:pPr>
      <w:r>
        <w:rPr>
          <w:rFonts w:hint="eastAsia" w:ascii="仿宋" w:hAnsi="仿宋" w:eastAsia="仿宋"/>
          <w:b/>
          <w:sz w:val="32"/>
          <w:szCs w:val="32"/>
        </w:rPr>
        <w:t>七、落实上级重要文件通知情况</w:t>
      </w:r>
    </w:p>
    <w:p>
      <w:pPr>
        <w:spacing w:line="560" w:lineRule="exact"/>
        <w:ind w:firstLine="640" w:firstLineChars="200"/>
        <w:rPr>
          <w:rFonts w:hint="eastAsia" w:ascii="仿宋" w:hAnsi="仿宋" w:eastAsia="仿宋"/>
          <w:sz w:val="32"/>
          <w:szCs w:val="32"/>
        </w:rPr>
      </w:pPr>
      <w:bookmarkStart w:id="0" w:name="_GoBack"/>
      <w:r>
        <w:rPr>
          <w:rFonts w:hint="eastAsia" w:ascii="仿宋" w:hAnsi="仿宋" w:eastAsia="仿宋"/>
          <w:sz w:val="32"/>
          <w:szCs w:val="32"/>
        </w:rPr>
        <w:t>将《中共吉林市委办公厅、吉林市人民政府办公厅印发关于全面推进政务公开工作的实施意见的通知》（吉市办发1号）文件作为政务公开工作的指导性文件印发全委各处室，并责成委信息公开领导小组办公室组织全委学习。结合实施意见及《吉林市人民政府办公厅关于2018年政务公开重点工作任务分工的通知》（吉市办函</w:t>
      </w:r>
      <w:r>
        <w:rPr>
          <w:rFonts w:hint="eastAsia" w:ascii="仿宋" w:hAnsi="仿宋" w:eastAsia="仿宋"/>
          <w:sz w:val="32"/>
          <w:szCs w:val="32"/>
        </w:rPr>
        <w:t>[2018]57号），研究制定了《2018年吉林市发展和改革委员会政务公开工作总体规划》，对涉及我委的工作任务进行了细化分解，印发了《吉林市发改委落实2018年政务公开重点工作任务分工方案》，提出2018年度政务公开工作的总体要求和工作内容及监督管理措施，保障了政务公开常规性工作有序开展，重点性工作按时完成，大力推行阳光政务。</w:t>
      </w:r>
    </w:p>
    <w:bookmarkEnd w:id="0"/>
    <w:p>
      <w:pPr>
        <w:spacing w:line="560" w:lineRule="exact"/>
        <w:ind w:firstLine="780" w:firstLineChars="244"/>
        <w:rPr>
          <w:rFonts w:ascii="仿宋" w:hAnsi="仿宋" w:eastAsia="仿宋"/>
          <w:b/>
          <w:sz w:val="32"/>
          <w:szCs w:val="32"/>
        </w:rPr>
      </w:pPr>
      <w:r>
        <w:rPr>
          <w:rFonts w:hint="eastAsia" w:ascii="仿宋" w:hAnsi="仿宋" w:eastAsia="仿宋"/>
          <w:b/>
          <w:sz w:val="32"/>
          <w:szCs w:val="32"/>
        </w:rPr>
        <w:t>八、存在问题及工作打算</w:t>
      </w:r>
    </w:p>
    <w:p>
      <w:pPr>
        <w:spacing w:line="560" w:lineRule="exact"/>
        <w:ind w:firstLine="944" w:firstLineChars="295"/>
        <w:rPr>
          <w:rFonts w:ascii="仿宋" w:hAnsi="仿宋" w:eastAsia="仿宋" w:cs="仿宋"/>
          <w:sz w:val="32"/>
          <w:szCs w:val="32"/>
        </w:rPr>
      </w:pPr>
      <w:r>
        <w:rPr>
          <w:rFonts w:hint="eastAsia" w:ascii="仿宋" w:hAnsi="仿宋" w:eastAsia="仿宋"/>
          <w:sz w:val="32"/>
          <w:szCs w:val="32"/>
        </w:rPr>
        <w:t>2018年我委在落实政务公开工作中取得了一定成效，但也存在一些问题：如部门网站建设尚需加强，内容尚需完善，信息公开渠道不够丰富等。</w:t>
      </w:r>
    </w:p>
    <w:p>
      <w:pPr>
        <w:spacing w:line="560" w:lineRule="exact"/>
        <w:ind w:firstLine="960" w:firstLineChars="300"/>
        <w:rPr>
          <w:rFonts w:ascii="仿宋" w:hAnsi="仿宋" w:eastAsia="仿宋"/>
          <w:sz w:val="32"/>
          <w:szCs w:val="32"/>
        </w:rPr>
      </w:pPr>
      <w:r>
        <w:rPr>
          <w:rFonts w:hint="eastAsia" w:ascii="仿宋" w:hAnsi="仿宋" w:eastAsia="仿宋"/>
          <w:sz w:val="32"/>
          <w:szCs w:val="32"/>
        </w:rPr>
        <w:t>2019年，我委将按照全市政务公开工作的统一部署，结合本单位的实际，重点抓好以下几项工作：</w:t>
      </w:r>
    </w:p>
    <w:p>
      <w:pPr>
        <w:spacing w:line="560" w:lineRule="exact"/>
        <w:ind w:firstLine="640" w:firstLineChars="200"/>
        <w:rPr>
          <w:rFonts w:ascii="仿宋" w:hAnsi="仿宋" w:eastAsia="仿宋" w:cs="仿宋"/>
          <w:sz w:val="32"/>
          <w:szCs w:val="32"/>
        </w:rPr>
      </w:pPr>
      <w:r>
        <w:rPr>
          <w:rFonts w:hint="eastAsia" w:ascii="仿宋" w:hAnsi="仿宋" w:eastAsia="仿宋"/>
          <w:sz w:val="32"/>
          <w:szCs w:val="32"/>
        </w:rPr>
        <w:t>一是推进信息公开协同管理机制。进一步加强与各处室间的沟通协调，确保政务公开工作人员到位、责任到位；二是继续加大公开力度。把涉及企业、群众利益的政府信息公开作为重点工作内容；三是丰富政府信息公开方式。畅通公开渠道，方便企业、服务群众，有针对性开展工作。</w:t>
      </w:r>
    </w:p>
    <w:p>
      <w:pPr>
        <w:widowControl/>
        <w:spacing w:before="100" w:beforeAutospacing="1" w:after="100" w:afterAutospacing="1" w:line="560" w:lineRule="exact"/>
        <w:ind w:firstLine="600" w:firstLineChars="200"/>
        <w:jc w:val="left"/>
        <w:rPr>
          <w:rFonts w:ascii="仿宋" w:hAnsi="仿宋" w:eastAsia="仿宋" w:cs="宋体"/>
          <w:kern w:val="0"/>
          <w:sz w:val="30"/>
          <w:szCs w:val="30"/>
        </w:rPr>
      </w:pPr>
      <w:r>
        <w:rPr>
          <w:rFonts w:hint="eastAsia" w:ascii="仿宋" w:hAnsi="仿宋" w:eastAsia="仿宋" w:cs="宋体"/>
          <w:kern w:val="0"/>
          <w:sz w:val="30"/>
          <w:szCs w:val="30"/>
        </w:rPr>
        <w:t>附件：政府信息公开情况统计表</w:t>
      </w:r>
    </w:p>
    <w:p>
      <w:pPr>
        <w:widowControl/>
        <w:spacing w:before="100" w:beforeAutospacing="1" w:after="100" w:afterAutospacing="1" w:line="560" w:lineRule="exact"/>
        <w:jc w:val="left"/>
        <w:rPr>
          <w:rFonts w:ascii="仿宋_GB2312" w:hAnsi="宋体" w:eastAsia="仿宋_GB2312" w:cs="宋体"/>
          <w:kern w:val="0"/>
          <w:sz w:val="30"/>
          <w:szCs w:val="30"/>
        </w:rPr>
      </w:pPr>
    </w:p>
    <w:tbl>
      <w:tblPr>
        <w:tblStyle w:val="7"/>
        <w:tblW w:w="8864" w:type="dxa"/>
        <w:tblInd w:w="0" w:type="dxa"/>
        <w:tblLayout w:type="fixed"/>
        <w:tblCellMar>
          <w:top w:w="15" w:type="dxa"/>
          <w:left w:w="15" w:type="dxa"/>
          <w:bottom w:w="15" w:type="dxa"/>
          <w:right w:w="15" w:type="dxa"/>
        </w:tblCellMar>
      </w:tblPr>
      <w:tblGrid>
        <w:gridCol w:w="4805"/>
        <w:gridCol w:w="787"/>
        <w:gridCol w:w="3248"/>
        <w:gridCol w:w="24"/>
      </w:tblGrid>
      <w:tr>
        <w:tblPrEx>
          <w:tblCellMar>
            <w:top w:w="15" w:type="dxa"/>
            <w:left w:w="15" w:type="dxa"/>
            <w:bottom w:w="15" w:type="dxa"/>
            <w:right w:w="15" w:type="dxa"/>
          </w:tblCellMar>
        </w:tblPrEx>
        <w:trPr>
          <w:trHeight w:val="405" w:hRule="atLeast"/>
        </w:trPr>
        <w:tc>
          <w:tcPr>
            <w:tcW w:w="8864" w:type="dxa"/>
            <w:gridSpan w:val="4"/>
            <w:shd w:val="clear" w:color="auto" w:fill="auto"/>
            <w:vAlign w:val="center"/>
          </w:tcPr>
          <w:p>
            <w:pPr>
              <w:widowControl/>
              <w:spacing w:line="560" w:lineRule="exact"/>
              <w:textAlignment w:val="center"/>
              <w:rPr>
                <w:rFonts w:ascii="仿宋" w:hAnsi="仿宋" w:eastAsia="仿宋" w:cs="黑体"/>
                <w:color w:val="000000"/>
                <w:kern w:val="0"/>
                <w:sz w:val="32"/>
                <w:szCs w:val="32"/>
              </w:rPr>
            </w:pPr>
            <w:r>
              <w:rPr>
                <w:rFonts w:hint="eastAsia" w:ascii="仿宋_GB2312" w:hAnsi="宋体" w:eastAsia="仿宋_GB2312" w:cs="黑体"/>
                <w:color w:val="000000"/>
                <w:kern w:val="0"/>
                <w:sz w:val="32"/>
                <w:szCs w:val="32"/>
              </w:rPr>
              <w:t xml:space="preserve">                        </w:t>
            </w:r>
            <w:r>
              <w:rPr>
                <w:rFonts w:hint="eastAsia" w:ascii="仿宋" w:hAnsi="仿宋" w:eastAsia="仿宋" w:cs="黑体"/>
                <w:color w:val="000000"/>
                <w:kern w:val="0"/>
                <w:sz w:val="32"/>
                <w:szCs w:val="32"/>
              </w:rPr>
              <w:t xml:space="preserve"> </w:t>
            </w:r>
          </w:p>
          <w:p>
            <w:pPr>
              <w:widowControl/>
              <w:spacing w:line="560" w:lineRule="exact"/>
              <w:textAlignment w:val="center"/>
              <w:rPr>
                <w:rFonts w:ascii="黑体" w:hAnsi="黑体" w:eastAsia="黑体" w:cs="黑体"/>
                <w:color w:val="000000"/>
                <w:kern w:val="0"/>
                <w:sz w:val="32"/>
                <w:szCs w:val="32"/>
              </w:rPr>
            </w:pPr>
          </w:p>
          <w:p>
            <w:pPr>
              <w:widowControl/>
              <w:spacing w:line="560" w:lineRule="exact"/>
              <w:textAlignment w:val="center"/>
              <w:rPr>
                <w:rFonts w:ascii="黑体" w:hAnsi="黑体" w:eastAsia="黑体" w:cs="黑体"/>
                <w:color w:val="000000"/>
                <w:kern w:val="0"/>
                <w:sz w:val="32"/>
                <w:szCs w:val="32"/>
              </w:rPr>
            </w:pPr>
          </w:p>
          <w:p>
            <w:pPr>
              <w:widowControl/>
              <w:spacing w:line="560" w:lineRule="exact"/>
              <w:textAlignment w:val="center"/>
              <w:rPr>
                <w:rFonts w:ascii="黑体" w:hAnsi="黑体" w:eastAsia="黑体" w:cs="黑体"/>
                <w:color w:val="000000"/>
                <w:kern w:val="0"/>
                <w:sz w:val="32"/>
                <w:szCs w:val="32"/>
              </w:rPr>
            </w:pPr>
          </w:p>
          <w:p>
            <w:pPr>
              <w:widowControl/>
              <w:spacing w:line="560" w:lineRule="exact"/>
              <w:textAlignment w:val="center"/>
              <w:rPr>
                <w:rFonts w:ascii="黑体" w:hAnsi="黑体" w:eastAsia="黑体" w:cs="黑体"/>
                <w:color w:val="000000"/>
                <w:kern w:val="0"/>
                <w:sz w:val="32"/>
                <w:szCs w:val="32"/>
              </w:rPr>
            </w:pPr>
          </w:p>
          <w:p>
            <w:pPr>
              <w:widowControl/>
              <w:spacing w:line="560" w:lineRule="exact"/>
              <w:textAlignment w:val="center"/>
              <w:rPr>
                <w:rFonts w:ascii="黑体" w:hAnsi="黑体" w:eastAsia="黑体" w:cs="黑体"/>
                <w:color w:val="000000"/>
                <w:kern w:val="0"/>
                <w:sz w:val="32"/>
                <w:szCs w:val="32"/>
              </w:rPr>
            </w:pPr>
          </w:p>
          <w:p>
            <w:pPr>
              <w:widowControl/>
              <w:spacing w:line="560" w:lineRule="exact"/>
              <w:textAlignment w:val="center"/>
              <w:rPr>
                <w:rFonts w:ascii="黑体" w:hAnsi="黑体" w:eastAsia="黑体" w:cs="黑体"/>
                <w:color w:val="000000"/>
                <w:sz w:val="32"/>
                <w:szCs w:val="32"/>
              </w:rPr>
            </w:pPr>
            <w:r>
              <w:rPr>
                <w:rFonts w:hint="eastAsia" w:ascii="黑体" w:hAnsi="黑体" w:eastAsia="黑体" w:cs="黑体"/>
                <w:color w:val="000000"/>
                <w:kern w:val="0"/>
                <w:sz w:val="32"/>
                <w:szCs w:val="32"/>
              </w:rPr>
              <w:t>附件:</w:t>
            </w:r>
          </w:p>
        </w:tc>
      </w:tr>
      <w:tr>
        <w:tblPrEx>
          <w:tblCellMar>
            <w:top w:w="15" w:type="dxa"/>
            <w:left w:w="15" w:type="dxa"/>
            <w:bottom w:w="15" w:type="dxa"/>
            <w:right w:w="15" w:type="dxa"/>
          </w:tblCellMar>
        </w:tblPrEx>
        <w:trPr>
          <w:trHeight w:val="286" w:hRule="atLeast"/>
        </w:trPr>
        <w:tc>
          <w:tcPr>
            <w:tcW w:w="4805" w:type="dxa"/>
            <w:shd w:val="clear" w:color="auto" w:fill="auto"/>
            <w:vAlign w:val="center"/>
          </w:tcPr>
          <w:p>
            <w:pPr>
              <w:spacing w:line="560" w:lineRule="exact"/>
              <w:rPr>
                <w:rFonts w:ascii="Calibri" w:hAnsi="Calibri" w:cs="Calibri"/>
                <w:color w:val="000000"/>
                <w:szCs w:val="21"/>
              </w:rPr>
            </w:pPr>
          </w:p>
        </w:tc>
        <w:tc>
          <w:tcPr>
            <w:tcW w:w="787" w:type="dxa"/>
            <w:shd w:val="clear" w:color="auto" w:fill="auto"/>
            <w:vAlign w:val="bottom"/>
          </w:tcPr>
          <w:p>
            <w:pPr>
              <w:spacing w:line="560" w:lineRule="exact"/>
              <w:rPr>
                <w:rFonts w:ascii="宋体" w:hAnsi="宋体" w:cs="宋体"/>
                <w:color w:val="000000"/>
                <w:sz w:val="22"/>
                <w:szCs w:val="22"/>
              </w:rPr>
            </w:pPr>
          </w:p>
        </w:tc>
        <w:tc>
          <w:tcPr>
            <w:tcW w:w="3272" w:type="dxa"/>
            <w:gridSpan w:val="2"/>
            <w:shd w:val="clear" w:color="auto" w:fill="auto"/>
            <w:vAlign w:val="bottom"/>
          </w:tcPr>
          <w:p>
            <w:pPr>
              <w:spacing w:line="560" w:lineRule="exact"/>
              <w:rPr>
                <w:rFonts w:ascii="宋体" w:hAnsi="宋体" w:cs="宋体"/>
                <w:color w:val="000000"/>
                <w:sz w:val="22"/>
                <w:szCs w:val="22"/>
              </w:rPr>
            </w:pPr>
          </w:p>
        </w:tc>
      </w:tr>
      <w:tr>
        <w:tblPrEx>
          <w:tblCellMar>
            <w:top w:w="15" w:type="dxa"/>
            <w:left w:w="15" w:type="dxa"/>
            <w:bottom w:w="15" w:type="dxa"/>
            <w:right w:w="15" w:type="dxa"/>
          </w:tblCellMar>
        </w:tblPrEx>
        <w:trPr>
          <w:trHeight w:val="540" w:hRule="atLeast"/>
        </w:trPr>
        <w:tc>
          <w:tcPr>
            <w:tcW w:w="8864" w:type="dxa"/>
            <w:gridSpan w:val="4"/>
            <w:shd w:val="clear" w:color="auto" w:fill="auto"/>
            <w:vAlign w:val="center"/>
          </w:tcPr>
          <w:p>
            <w:pPr>
              <w:widowControl/>
              <w:spacing w:line="560" w:lineRule="exact"/>
              <w:jc w:val="center"/>
              <w:textAlignment w:val="center"/>
              <w:rPr>
                <w:rFonts w:ascii="宋体" w:hAnsi="宋体" w:cs="宋体"/>
                <w:b/>
                <w:color w:val="000000"/>
                <w:sz w:val="44"/>
                <w:szCs w:val="44"/>
              </w:rPr>
            </w:pPr>
            <w:r>
              <w:rPr>
                <w:rFonts w:hint="eastAsia" w:ascii="宋体" w:hAnsi="宋体" w:cs="宋体"/>
                <w:b/>
                <w:color w:val="000000"/>
                <w:kern w:val="0"/>
                <w:sz w:val="44"/>
                <w:szCs w:val="44"/>
              </w:rPr>
              <w:t>政府信息公开情况统计表</w:t>
            </w:r>
          </w:p>
        </w:tc>
      </w:tr>
      <w:tr>
        <w:tblPrEx>
          <w:tblCellMar>
            <w:top w:w="15" w:type="dxa"/>
            <w:left w:w="15" w:type="dxa"/>
            <w:bottom w:w="15" w:type="dxa"/>
            <w:right w:w="15" w:type="dxa"/>
          </w:tblCellMar>
        </w:tblPrEx>
        <w:trPr>
          <w:trHeight w:val="420" w:hRule="atLeast"/>
        </w:trPr>
        <w:tc>
          <w:tcPr>
            <w:tcW w:w="8864" w:type="dxa"/>
            <w:gridSpan w:val="4"/>
            <w:shd w:val="clear" w:color="auto" w:fill="auto"/>
            <w:vAlign w:val="center"/>
          </w:tcPr>
          <w:p>
            <w:pPr>
              <w:widowControl/>
              <w:spacing w:line="560" w:lineRule="exact"/>
              <w:jc w:val="center"/>
              <w:textAlignment w:val="center"/>
              <w:rPr>
                <w:rFonts w:ascii="宋体" w:hAnsi="宋体" w:cs="宋体"/>
                <w:color w:val="000000"/>
                <w:sz w:val="32"/>
                <w:szCs w:val="32"/>
              </w:rPr>
            </w:pPr>
            <w:r>
              <w:rPr>
                <w:rFonts w:hint="eastAsia" w:ascii="宋体" w:hAnsi="宋体" w:cs="宋体"/>
                <w:color w:val="000000"/>
                <w:kern w:val="0"/>
                <w:sz w:val="32"/>
                <w:szCs w:val="32"/>
              </w:rPr>
              <w:t>（</w:t>
            </w:r>
            <w:r>
              <w:rPr>
                <w:rStyle w:val="15"/>
              </w:rPr>
              <w:t xml:space="preserve"> 2018 </w:t>
            </w:r>
            <w:r>
              <w:rPr>
                <w:rStyle w:val="16"/>
                <w:rFonts w:hint="default"/>
              </w:rPr>
              <w:t>年度）</w:t>
            </w:r>
          </w:p>
        </w:tc>
      </w:tr>
      <w:tr>
        <w:tblPrEx>
          <w:tblCellMar>
            <w:top w:w="15" w:type="dxa"/>
            <w:left w:w="15" w:type="dxa"/>
            <w:bottom w:w="15" w:type="dxa"/>
            <w:right w:w="15" w:type="dxa"/>
          </w:tblCellMar>
        </w:tblPrEx>
        <w:trPr>
          <w:trHeight w:val="286" w:hRule="atLeast"/>
        </w:trPr>
        <w:tc>
          <w:tcPr>
            <w:tcW w:w="4805" w:type="dxa"/>
            <w:shd w:val="clear" w:color="auto" w:fill="auto"/>
            <w:vAlign w:val="center"/>
          </w:tcPr>
          <w:p>
            <w:pPr>
              <w:spacing w:line="560" w:lineRule="exact"/>
              <w:rPr>
                <w:rFonts w:ascii="Calibri" w:hAnsi="Calibri" w:cs="Calibri"/>
                <w:color w:val="000000"/>
                <w:szCs w:val="21"/>
              </w:rPr>
            </w:pPr>
          </w:p>
        </w:tc>
        <w:tc>
          <w:tcPr>
            <w:tcW w:w="787" w:type="dxa"/>
            <w:shd w:val="clear" w:color="auto" w:fill="auto"/>
            <w:vAlign w:val="bottom"/>
          </w:tcPr>
          <w:p>
            <w:pPr>
              <w:spacing w:line="560" w:lineRule="exact"/>
              <w:rPr>
                <w:rFonts w:ascii="宋体" w:hAnsi="宋体" w:cs="宋体"/>
                <w:color w:val="000000"/>
                <w:sz w:val="22"/>
                <w:szCs w:val="22"/>
              </w:rPr>
            </w:pPr>
          </w:p>
        </w:tc>
        <w:tc>
          <w:tcPr>
            <w:tcW w:w="3272" w:type="dxa"/>
            <w:gridSpan w:val="2"/>
            <w:shd w:val="clear" w:color="auto" w:fill="auto"/>
            <w:vAlign w:val="bottom"/>
          </w:tcPr>
          <w:p>
            <w:pPr>
              <w:spacing w:line="560" w:lineRule="exact"/>
              <w:rPr>
                <w:rFonts w:ascii="宋体" w:hAnsi="宋体" w:cs="宋体"/>
                <w:color w:val="000000"/>
                <w:sz w:val="22"/>
                <w:szCs w:val="22"/>
              </w:rPr>
            </w:pPr>
          </w:p>
        </w:tc>
      </w:tr>
      <w:tr>
        <w:tblPrEx>
          <w:tblCellMar>
            <w:top w:w="15" w:type="dxa"/>
            <w:left w:w="15" w:type="dxa"/>
            <w:bottom w:w="15" w:type="dxa"/>
            <w:right w:w="15" w:type="dxa"/>
          </w:tblCellMar>
        </w:tblPrEx>
        <w:trPr>
          <w:trHeight w:val="495" w:hRule="atLeast"/>
        </w:trPr>
        <w:tc>
          <w:tcPr>
            <w:tcW w:w="8864" w:type="dxa"/>
            <w:gridSpan w:val="4"/>
            <w:tcBorders>
              <w:bottom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填报单位（盖章）：</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统  计  指  标</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单位</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黑体" w:hAnsi="宋体" w:eastAsia="黑体" w:cs="黑体"/>
                <w:b/>
                <w:color w:val="000000"/>
                <w:szCs w:val="21"/>
              </w:rPr>
            </w:pPr>
            <w:r>
              <w:rPr>
                <w:rFonts w:hint="eastAsia" w:ascii="黑体" w:hAnsi="宋体" w:eastAsia="黑体" w:cs="黑体"/>
                <w:b/>
                <w:color w:val="000000"/>
                <w:kern w:val="0"/>
                <w:szCs w:val="21"/>
              </w:rPr>
              <w:t>统计数</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黑体" w:hAnsi="宋体" w:eastAsia="黑体" w:cs="黑体"/>
                <w:b/>
                <w:color w:val="000000"/>
                <w:szCs w:val="21"/>
              </w:rPr>
            </w:pPr>
            <w:r>
              <w:rPr>
                <w:rFonts w:hint="eastAsia" w:ascii="黑体" w:hAnsi="宋体" w:eastAsia="黑体" w:cs="黑体"/>
                <w:b/>
                <w:color w:val="000000"/>
                <w:kern w:val="0"/>
                <w:szCs w:val="21"/>
              </w:rPr>
              <w:t>一、主动公开情况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left"/>
              <w:rPr>
                <w:rFonts w:ascii="宋体" w:hAnsi="宋体" w:cs="宋体"/>
                <w:color w:val="000000"/>
                <w:szCs w:val="21"/>
              </w:rPr>
            </w:pPr>
          </w:p>
        </w:tc>
      </w:tr>
      <w:tr>
        <w:tblPrEx>
          <w:tblCellMar>
            <w:top w:w="15" w:type="dxa"/>
            <w:left w:w="15" w:type="dxa"/>
            <w:bottom w:w="15" w:type="dxa"/>
            <w:right w:w="15" w:type="dxa"/>
          </w:tblCellMar>
        </w:tblPrEx>
        <w:trPr>
          <w:trHeight w:val="600"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 xml:space="preserve">    （一）主动公开政府信息数</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（不同渠道和方式公开相同信息计1条）</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55</w:t>
            </w:r>
          </w:p>
        </w:tc>
      </w:tr>
      <w:tr>
        <w:tblPrEx>
          <w:tblCellMar>
            <w:top w:w="15" w:type="dxa"/>
            <w:left w:w="15" w:type="dxa"/>
            <w:bottom w:w="15" w:type="dxa"/>
            <w:right w:w="15" w:type="dxa"/>
          </w:tblCellMar>
        </w:tblPrEx>
        <w:trPr>
          <w:trHeight w:val="52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其中：主动公开规范性文件数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制发规范性文件总数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人大代表建议和政协提案办理结果公开数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7</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（二）通过不同渠道和方式公开政府信息的情况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left"/>
              <w:rPr>
                <w:rFonts w:ascii="宋体" w:hAnsi="宋体" w:cs="宋体"/>
                <w:color w:val="000000"/>
                <w:szCs w:val="21"/>
              </w:rPr>
            </w:pP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1.政府公报公开政府信息数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2.政府网站公开政府信息数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55</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3.政务微博公开政府信息数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4.政务微信公开政府信息数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5.其他方式公开政府信息数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二、回应解读情况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jc w:val="left"/>
              <w:rPr>
                <w:rFonts w:ascii="宋体" w:hAnsi="宋体" w:cs="宋体"/>
                <w:color w:val="000000"/>
                <w:szCs w:val="21"/>
              </w:rPr>
            </w:pPr>
          </w:p>
        </w:tc>
      </w:tr>
      <w:tr>
        <w:tblPrEx>
          <w:tblCellMar>
            <w:top w:w="15" w:type="dxa"/>
            <w:left w:w="15" w:type="dxa"/>
            <w:bottom w:w="15" w:type="dxa"/>
            <w:right w:w="15" w:type="dxa"/>
          </w:tblCellMar>
        </w:tblPrEx>
        <w:trPr>
          <w:trHeight w:val="660"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（一）回应公众关注热点或重大舆情数</w:t>
            </w:r>
            <w:r>
              <w:rPr>
                <w:rFonts w:hint="eastAsia" w:ascii="宋体" w:hAnsi="宋体" w:cs="宋体"/>
                <w:color w:val="000000"/>
                <w:kern w:val="0"/>
                <w:szCs w:val="21"/>
              </w:rPr>
              <w:br w:type="textWrapping"/>
            </w:r>
            <w:r>
              <w:rPr>
                <w:rFonts w:hint="eastAsia" w:ascii="宋体" w:hAnsi="宋体" w:cs="宋体"/>
                <w:color w:val="000000"/>
                <w:kern w:val="0"/>
                <w:szCs w:val="21"/>
              </w:rPr>
              <w:t xml:space="preserve">         （不同方式回应同一热点或舆情计0次）</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55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（二）通过不同渠道和方式回应解读的情况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Calibri" w:hAnsi="Calibri" w:cs="Calibri"/>
                <w:color w:val="000000"/>
                <w:szCs w:val="21"/>
              </w:rPr>
            </w:pP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540"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1.参加或举办新闻发布会总次数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其中：主要负责同志参加新闻发布会次数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2.政府网站在线访谈次数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7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其中：主要负责同志参加政府网站在线访谈次数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3.政策解读稿件发布数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篇</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4.微博微信回应事件数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5.其他方式回应事件数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三、依申请公开情况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宋体" w:hAnsi="宋体" w:cs="宋体"/>
                <w:color w:val="000000"/>
                <w:szCs w:val="21"/>
              </w:rPr>
            </w:pP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（一）收到申请数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1.当面申请数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2</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2.传真申请数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3.网络申请数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4.信函申请数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（二）申请办结数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1.按时办结数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2.延期办结数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（三）申请答复数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1.属于已主动公开范围数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2.同意公开答复数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2</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3.同意部分公开答复数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4.不同意公开答复数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其中：涉及国家秘密</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涉及商业秘密</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涉及个人隐私</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危及国家安全、公共安全、经济安全和社会稳定</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不是《条例》所指政府信息</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法律法规规定的其他情形</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5.不属于本行政机关公开数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6.申请信息不存在数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7.告知作出更改补充数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8.告知通过其他途径办理数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四、行政复议数量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（一）维持具体行政行为数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（二）被依法纠错数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（三）其他情形数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五、行政诉讼数量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（一）维持具体行政行为或者驳回原告诉讼请求数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（二）被依法纠错数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（三）其他情形数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六、举报投诉数量</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件</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七、依申请公开信息收取的费用</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万元</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八、机构建设和保障经费情况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（一）政府信息公开工作专门机构数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（二）设置政府信息公开查阅点数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个</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2</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（三）从事政府信息公开工作人员数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人</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1.专职人员数（不包括政府公报及政府网站工作人员数）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人</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61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2.兼职人员数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人</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3</w:t>
            </w:r>
          </w:p>
        </w:tc>
      </w:tr>
      <w:tr>
        <w:tblPrEx>
          <w:tblCellMar>
            <w:top w:w="15" w:type="dxa"/>
            <w:left w:w="15" w:type="dxa"/>
            <w:bottom w:w="15" w:type="dxa"/>
            <w:right w:w="15" w:type="dxa"/>
          </w:tblCellMar>
        </w:tblPrEx>
        <w:trPr>
          <w:gridAfter w:val="1"/>
          <w:wAfter w:w="24" w:type="dxa"/>
          <w:trHeight w:val="750"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（四）政府信息公开专项经费（不包括用于政府公报编辑管理及政府网站建设维护等方面的经费）</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万元</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0</w:t>
            </w:r>
          </w:p>
        </w:tc>
      </w:tr>
      <w:tr>
        <w:tblPrEx>
          <w:tblCellMar>
            <w:top w:w="15" w:type="dxa"/>
            <w:left w:w="15" w:type="dxa"/>
            <w:bottom w:w="15" w:type="dxa"/>
            <w:right w:w="15" w:type="dxa"/>
          </w:tblCellMar>
        </w:tblPrEx>
        <w:trPr>
          <w:gridAfter w:val="1"/>
          <w:wAfter w:w="24" w:type="dxa"/>
          <w:trHeight w:val="660"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黑体" w:hAnsi="宋体" w:eastAsia="黑体" w:cs="黑体"/>
                <w:b/>
                <w:color w:val="000000"/>
                <w:szCs w:val="21"/>
              </w:rPr>
            </w:pPr>
            <w:r>
              <w:rPr>
                <w:rFonts w:hint="eastAsia" w:ascii="黑体" w:hAnsi="宋体" w:eastAsia="黑体" w:cs="黑体"/>
                <w:b/>
                <w:color w:val="000000"/>
                <w:kern w:val="0"/>
                <w:szCs w:val="21"/>
              </w:rPr>
              <w:t>九、政府信息公开会议和培训情况</w:t>
            </w:r>
          </w:p>
        </w:tc>
        <w:tc>
          <w:tcPr>
            <w:tcW w:w="787" w:type="dxa"/>
            <w:tcBorders>
              <w:top w:val="single" w:color="000000" w:sz="4" w:space="0"/>
              <w:left w:val="single" w:color="000000" w:sz="4" w:space="0"/>
              <w:bottom w:val="single" w:color="000000" w:sz="4" w:space="0"/>
              <w:right w:val="single" w:color="000000" w:sz="4" w:space="0"/>
              <w:tr2bl w:val="single" w:color="000000" w:sz="4" w:space="0"/>
            </w:tcBorders>
            <w:shd w:val="clear" w:color="auto" w:fill="auto"/>
            <w:vAlign w:val="center"/>
          </w:tcPr>
          <w:p>
            <w:pPr>
              <w:spacing w:line="560" w:lineRule="exact"/>
              <w:jc w:val="center"/>
              <w:rPr>
                <w:rFonts w:ascii="宋体" w:hAnsi="宋体" w:cs="宋体"/>
                <w:color w:val="000000"/>
                <w:szCs w:val="21"/>
              </w:rPr>
            </w:pP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560" w:lineRule="exact"/>
              <w:rPr>
                <w:rFonts w:ascii="宋体" w:hAnsi="宋体" w:cs="宋体"/>
                <w:color w:val="000000"/>
                <w:szCs w:val="21"/>
              </w:rPr>
            </w:pP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（一）召开政府信息公开工作会议或专题会议数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（二）举办各类培训班数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1</w:t>
            </w:r>
          </w:p>
        </w:tc>
      </w:tr>
      <w:tr>
        <w:tblPrEx>
          <w:tblCellMar>
            <w:top w:w="15" w:type="dxa"/>
            <w:left w:w="15" w:type="dxa"/>
            <w:bottom w:w="15" w:type="dxa"/>
            <w:right w:w="15" w:type="dxa"/>
          </w:tblCellMar>
        </w:tblPrEx>
        <w:trPr>
          <w:gridAfter w:val="1"/>
          <w:wAfter w:w="24" w:type="dxa"/>
          <w:trHeight w:val="495" w:hRule="atLeast"/>
        </w:trPr>
        <w:tc>
          <w:tcPr>
            <w:tcW w:w="480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宋体" w:hAnsi="宋体" w:cs="宋体"/>
                <w:color w:val="000000"/>
                <w:szCs w:val="21"/>
              </w:rPr>
            </w:pPr>
            <w:r>
              <w:rPr>
                <w:rFonts w:hint="eastAsia" w:ascii="宋体" w:hAnsi="宋体" w:cs="宋体"/>
                <w:color w:val="000000"/>
                <w:kern w:val="0"/>
                <w:szCs w:val="21"/>
              </w:rPr>
              <w:t xml:space="preserve">     （三）接受培训人员数</w:t>
            </w:r>
          </w:p>
        </w:tc>
        <w:tc>
          <w:tcPr>
            <w:tcW w:w="7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宋体" w:hAnsi="宋体" w:cs="宋体"/>
                <w:color w:val="000000"/>
                <w:szCs w:val="21"/>
              </w:rPr>
            </w:pPr>
            <w:r>
              <w:rPr>
                <w:rFonts w:hint="eastAsia" w:ascii="宋体" w:hAnsi="宋体" w:cs="宋体"/>
                <w:color w:val="000000"/>
                <w:kern w:val="0"/>
                <w:szCs w:val="21"/>
              </w:rPr>
              <w:t>人次</w:t>
            </w:r>
          </w:p>
        </w:tc>
        <w:tc>
          <w:tcPr>
            <w:tcW w:w="32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textAlignment w:val="center"/>
              <w:rPr>
                <w:rFonts w:ascii="宋体" w:hAnsi="宋体" w:cs="宋体"/>
                <w:color w:val="000000"/>
                <w:szCs w:val="21"/>
              </w:rPr>
            </w:pPr>
            <w:r>
              <w:rPr>
                <w:rFonts w:hint="eastAsia" w:ascii="宋体" w:hAnsi="宋体" w:cs="宋体"/>
                <w:color w:val="000000"/>
                <w:kern w:val="0"/>
                <w:szCs w:val="21"/>
              </w:rPr>
              <w:t>2</w:t>
            </w:r>
          </w:p>
        </w:tc>
      </w:tr>
    </w:tbl>
    <w:p>
      <w:pPr>
        <w:widowControl/>
        <w:spacing w:before="100" w:beforeAutospacing="1" w:after="100" w:afterAutospacing="1" w:line="560" w:lineRule="exact"/>
        <w:jc w:val="left"/>
        <w:rPr>
          <w:rFonts w:ascii="仿宋_GB2312" w:hAnsi="宋体" w:eastAsia="仿宋_GB2312" w:cs="宋体"/>
          <w:kern w:val="0"/>
          <w:sz w:val="30"/>
          <w:szCs w:val="30"/>
        </w:rPr>
      </w:pPr>
    </w:p>
    <w:sectPr>
      <w:headerReference r:id="rId5" w:type="first"/>
      <w:footerReference r:id="rId8" w:type="first"/>
      <w:headerReference r:id="rId3" w:type="default"/>
      <w:footerReference r:id="rId6" w:type="default"/>
      <w:headerReference r:id="rId4" w:type="even"/>
      <w:footerReference r:id="rId7" w:type="even"/>
      <w:pgSz w:w="11906" w:h="16838"/>
      <w:pgMar w:top="1304" w:right="1587" w:bottom="1191" w:left="1474"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eastAsia="仿宋_GB2312"/>
        <w:sz w:val="28"/>
        <w:szCs w:val="28"/>
      </w:rPr>
    </w:pPr>
    <w:r>
      <w:rPr>
        <w:rStyle w:val="10"/>
        <w:rFonts w:hint="eastAsia" w:ascii="仿宋_GB2312" w:eastAsia="仿宋_GB2312"/>
        <w:sz w:val="28"/>
        <w:szCs w:val="28"/>
      </w:rPr>
      <w:fldChar w:fldCharType="begin"/>
    </w:r>
    <w:r>
      <w:rPr>
        <w:rStyle w:val="10"/>
        <w:rFonts w:hint="eastAsia" w:ascii="仿宋_GB2312" w:eastAsia="仿宋_GB2312"/>
        <w:sz w:val="28"/>
        <w:szCs w:val="28"/>
      </w:rPr>
      <w:instrText xml:space="preserve">PAGE  </w:instrText>
    </w:r>
    <w:r>
      <w:rPr>
        <w:rStyle w:val="10"/>
        <w:rFonts w:hint="eastAsia" w:ascii="仿宋_GB2312" w:eastAsia="仿宋_GB2312"/>
        <w:sz w:val="28"/>
        <w:szCs w:val="28"/>
      </w:rPr>
      <w:fldChar w:fldCharType="separate"/>
    </w:r>
    <w:r>
      <w:rPr>
        <w:rStyle w:val="10"/>
        <w:rFonts w:ascii="仿宋_GB2312" w:eastAsia="仿宋_GB2312"/>
        <w:sz w:val="28"/>
        <w:szCs w:val="28"/>
      </w:rPr>
      <w:t>- 9 -</w:t>
    </w:r>
    <w:r>
      <w:rPr>
        <w:rStyle w:val="10"/>
        <w:rFonts w:hint="eastAsia" w:ascii="仿宋_GB2312" w:eastAsia="仿宋_GB2312"/>
        <w:sz w:val="28"/>
        <w:szCs w:val="28"/>
      </w:rPr>
      <w:fldChar w:fldCharType="end"/>
    </w:r>
  </w:p>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end"/>
    </w:r>
  </w:p>
  <w:p>
    <w:pPr>
      <w:pStyle w:val="5"/>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6D11C1"/>
    <w:rsid w:val="000028B1"/>
    <w:rsid w:val="00003163"/>
    <w:rsid w:val="00004044"/>
    <w:rsid w:val="00004513"/>
    <w:rsid w:val="00005DAD"/>
    <w:rsid w:val="00013A61"/>
    <w:rsid w:val="000143AF"/>
    <w:rsid w:val="000232E5"/>
    <w:rsid w:val="00023771"/>
    <w:rsid w:val="00045F40"/>
    <w:rsid w:val="00051715"/>
    <w:rsid w:val="00051720"/>
    <w:rsid w:val="000529B0"/>
    <w:rsid w:val="000531BF"/>
    <w:rsid w:val="00054A96"/>
    <w:rsid w:val="0005669C"/>
    <w:rsid w:val="00060E28"/>
    <w:rsid w:val="00065D83"/>
    <w:rsid w:val="00067713"/>
    <w:rsid w:val="00073B1A"/>
    <w:rsid w:val="000814BF"/>
    <w:rsid w:val="00087185"/>
    <w:rsid w:val="000961DA"/>
    <w:rsid w:val="000A0CBA"/>
    <w:rsid w:val="000A1712"/>
    <w:rsid w:val="000A6F9F"/>
    <w:rsid w:val="000C1012"/>
    <w:rsid w:val="000C65BA"/>
    <w:rsid w:val="000E28EA"/>
    <w:rsid w:val="000E593D"/>
    <w:rsid w:val="000E68DF"/>
    <w:rsid w:val="000E7FF4"/>
    <w:rsid w:val="000F0A07"/>
    <w:rsid w:val="000F1083"/>
    <w:rsid w:val="000F34CF"/>
    <w:rsid w:val="001038E1"/>
    <w:rsid w:val="00110501"/>
    <w:rsid w:val="00110632"/>
    <w:rsid w:val="00111C2C"/>
    <w:rsid w:val="00112694"/>
    <w:rsid w:val="00120C52"/>
    <w:rsid w:val="001221F9"/>
    <w:rsid w:val="00122ACB"/>
    <w:rsid w:val="00127115"/>
    <w:rsid w:val="001310C0"/>
    <w:rsid w:val="001324DD"/>
    <w:rsid w:val="00133128"/>
    <w:rsid w:val="00134B6B"/>
    <w:rsid w:val="00135470"/>
    <w:rsid w:val="00136714"/>
    <w:rsid w:val="00137D8D"/>
    <w:rsid w:val="0014032A"/>
    <w:rsid w:val="0014205C"/>
    <w:rsid w:val="001432C9"/>
    <w:rsid w:val="00143CD2"/>
    <w:rsid w:val="0014415C"/>
    <w:rsid w:val="001514C5"/>
    <w:rsid w:val="00155E06"/>
    <w:rsid w:val="00162929"/>
    <w:rsid w:val="00165724"/>
    <w:rsid w:val="001674D4"/>
    <w:rsid w:val="00167E17"/>
    <w:rsid w:val="001711ED"/>
    <w:rsid w:val="0017137B"/>
    <w:rsid w:val="0017333B"/>
    <w:rsid w:val="00180104"/>
    <w:rsid w:val="001836F0"/>
    <w:rsid w:val="001857AA"/>
    <w:rsid w:val="00187A6F"/>
    <w:rsid w:val="00193AA6"/>
    <w:rsid w:val="00193D3E"/>
    <w:rsid w:val="0019633A"/>
    <w:rsid w:val="001A16DA"/>
    <w:rsid w:val="001A4727"/>
    <w:rsid w:val="001A48EF"/>
    <w:rsid w:val="001A6107"/>
    <w:rsid w:val="001A6EC7"/>
    <w:rsid w:val="001A7D55"/>
    <w:rsid w:val="001B1F62"/>
    <w:rsid w:val="001B64D5"/>
    <w:rsid w:val="001C0533"/>
    <w:rsid w:val="001C0D8D"/>
    <w:rsid w:val="001C5CBA"/>
    <w:rsid w:val="001C78F8"/>
    <w:rsid w:val="001D44D1"/>
    <w:rsid w:val="001D5781"/>
    <w:rsid w:val="001E017C"/>
    <w:rsid w:val="001E2415"/>
    <w:rsid w:val="001E3ADB"/>
    <w:rsid w:val="001E77E4"/>
    <w:rsid w:val="001E7CC9"/>
    <w:rsid w:val="001F57DE"/>
    <w:rsid w:val="001F62C7"/>
    <w:rsid w:val="001F6DEE"/>
    <w:rsid w:val="00203092"/>
    <w:rsid w:val="00205147"/>
    <w:rsid w:val="00206D79"/>
    <w:rsid w:val="00216240"/>
    <w:rsid w:val="0022288E"/>
    <w:rsid w:val="00226E08"/>
    <w:rsid w:val="002321AC"/>
    <w:rsid w:val="00233942"/>
    <w:rsid w:val="00233F9D"/>
    <w:rsid w:val="00234927"/>
    <w:rsid w:val="002419EC"/>
    <w:rsid w:val="00246DCD"/>
    <w:rsid w:val="00246FF3"/>
    <w:rsid w:val="00253421"/>
    <w:rsid w:val="002563EB"/>
    <w:rsid w:val="00256CB9"/>
    <w:rsid w:val="00261C9E"/>
    <w:rsid w:val="0028789E"/>
    <w:rsid w:val="00292BA2"/>
    <w:rsid w:val="0029545B"/>
    <w:rsid w:val="00295595"/>
    <w:rsid w:val="00297FF0"/>
    <w:rsid w:val="002A3D30"/>
    <w:rsid w:val="002B4A88"/>
    <w:rsid w:val="002E2B09"/>
    <w:rsid w:val="002E3F20"/>
    <w:rsid w:val="002E6A64"/>
    <w:rsid w:val="003018C8"/>
    <w:rsid w:val="00301F81"/>
    <w:rsid w:val="00304F2F"/>
    <w:rsid w:val="003214B3"/>
    <w:rsid w:val="00323F0A"/>
    <w:rsid w:val="00331C25"/>
    <w:rsid w:val="003468DF"/>
    <w:rsid w:val="00351549"/>
    <w:rsid w:val="00360A05"/>
    <w:rsid w:val="00365030"/>
    <w:rsid w:val="00374DB4"/>
    <w:rsid w:val="003756BC"/>
    <w:rsid w:val="00375CB1"/>
    <w:rsid w:val="00376523"/>
    <w:rsid w:val="00381FAD"/>
    <w:rsid w:val="00384615"/>
    <w:rsid w:val="00391D5B"/>
    <w:rsid w:val="00392D6E"/>
    <w:rsid w:val="00393F51"/>
    <w:rsid w:val="003A1E7C"/>
    <w:rsid w:val="003A2F10"/>
    <w:rsid w:val="003B6C93"/>
    <w:rsid w:val="003C4C8F"/>
    <w:rsid w:val="003C700A"/>
    <w:rsid w:val="003D6C4C"/>
    <w:rsid w:val="003D72CD"/>
    <w:rsid w:val="003E0835"/>
    <w:rsid w:val="003E742F"/>
    <w:rsid w:val="003F5365"/>
    <w:rsid w:val="003F67C3"/>
    <w:rsid w:val="00403962"/>
    <w:rsid w:val="00407F2C"/>
    <w:rsid w:val="00410699"/>
    <w:rsid w:val="00425364"/>
    <w:rsid w:val="00427CA6"/>
    <w:rsid w:val="00431557"/>
    <w:rsid w:val="00437337"/>
    <w:rsid w:val="00444955"/>
    <w:rsid w:val="00452040"/>
    <w:rsid w:val="004669D5"/>
    <w:rsid w:val="004726F5"/>
    <w:rsid w:val="00474202"/>
    <w:rsid w:val="004744D7"/>
    <w:rsid w:val="00476677"/>
    <w:rsid w:val="00476A3E"/>
    <w:rsid w:val="00480CA6"/>
    <w:rsid w:val="004843E2"/>
    <w:rsid w:val="00486B90"/>
    <w:rsid w:val="00492B40"/>
    <w:rsid w:val="00494F3D"/>
    <w:rsid w:val="0049725B"/>
    <w:rsid w:val="004A1E76"/>
    <w:rsid w:val="004B2D51"/>
    <w:rsid w:val="004B5B05"/>
    <w:rsid w:val="004C057B"/>
    <w:rsid w:val="004C10B5"/>
    <w:rsid w:val="004C3ADA"/>
    <w:rsid w:val="004C54DF"/>
    <w:rsid w:val="004D0AAB"/>
    <w:rsid w:val="004D5F13"/>
    <w:rsid w:val="004E0262"/>
    <w:rsid w:val="004E2E60"/>
    <w:rsid w:val="004F6A34"/>
    <w:rsid w:val="005026CB"/>
    <w:rsid w:val="0051025F"/>
    <w:rsid w:val="00511615"/>
    <w:rsid w:val="00514874"/>
    <w:rsid w:val="00523C18"/>
    <w:rsid w:val="005307E0"/>
    <w:rsid w:val="00537794"/>
    <w:rsid w:val="0054216F"/>
    <w:rsid w:val="0054258A"/>
    <w:rsid w:val="005435B7"/>
    <w:rsid w:val="00554412"/>
    <w:rsid w:val="00566D77"/>
    <w:rsid w:val="00567D54"/>
    <w:rsid w:val="005761AE"/>
    <w:rsid w:val="00582CD8"/>
    <w:rsid w:val="005860DE"/>
    <w:rsid w:val="00597F66"/>
    <w:rsid w:val="005A0AA5"/>
    <w:rsid w:val="005B01F1"/>
    <w:rsid w:val="005C57C3"/>
    <w:rsid w:val="005C5CEC"/>
    <w:rsid w:val="005C7D18"/>
    <w:rsid w:val="005D0CAC"/>
    <w:rsid w:val="005E1D12"/>
    <w:rsid w:val="005E2479"/>
    <w:rsid w:val="005E4C8B"/>
    <w:rsid w:val="005F57F3"/>
    <w:rsid w:val="005F64AD"/>
    <w:rsid w:val="005F7FB5"/>
    <w:rsid w:val="00600A20"/>
    <w:rsid w:val="00604D99"/>
    <w:rsid w:val="006212D5"/>
    <w:rsid w:val="0062211D"/>
    <w:rsid w:val="006221C5"/>
    <w:rsid w:val="0063359D"/>
    <w:rsid w:val="006366E9"/>
    <w:rsid w:val="006377AE"/>
    <w:rsid w:val="00641A00"/>
    <w:rsid w:val="006455F3"/>
    <w:rsid w:val="00650DB5"/>
    <w:rsid w:val="00654282"/>
    <w:rsid w:val="006642BC"/>
    <w:rsid w:val="0066453D"/>
    <w:rsid w:val="00667871"/>
    <w:rsid w:val="00672A44"/>
    <w:rsid w:val="00673C00"/>
    <w:rsid w:val="00675AD9"/>
    <w:rsid w:val="00680C61"/>
    <w:rsid w:val="00682F03"/>
    <w:rsid w:val="00683AA3"/>
    <w:rsid w:val="006878B8"/>
    <w:rsid w:val="00691B81"/>
    <w:rsid w:val="00691CA3"/>
    <w:rsid w:val="00696DB5"/>
    <w:rsid w:val="006A192C"/>
    <w:rsid w:val="006A2F9B"/>
    <w:rsid w:val="006A5383"/>
    <w:rsid w:val="006A577A"/>
    <w:rsid w:val="006B1059"/>
    <w:rsid w:val="006B132A"/>
    <w:rsid w:val="006B3400"/>
    <w:rsid w:val="006C22DC"/>
    <w:rsid w:val="006C2B98"/>
    <w:rsid w:val="006C4F4E"/>
    <w:rsid w:val="006C6FB1"/>
    <w:rsid w:val="006D11C1"/>
    <w:rsid w:val="006D1606"/>
    <w:rsid w:val="006D461A"/>
    <w:rsid w:val="006D5E62"/>
    <w:rsid w:val="006D645B"/>
    <w:rsid w:val="006D7CA0"/>
    <w:rsid w:val="006E0304"/>
    <w:rsid w:val="006E19A7"/>
    <w:rsid w:val="006E35CC"/>
    <w:rsid w:val="006F28C2"/>
    <w:rsid w:val="006F5FBE"/>
    <w:rsid w:val="007008D8"/>
    <w:rsid w:val="00703FDC"/>
    <w:rsid w:val="007112C6"/>
    <w:rsid w:val="007138AC"/>
    <w:rsid w:val="00717FC8"/>
    <w:rsid w:val="00725481"/>
    <w:rsid w:val="007263D4"/>
    <w:rsid w:val="00727954"/>
    <w:rsid w:val="00732C12"/>
    <w:rsid w:val="00735E58"/>
    <w:rsid w:val="00741BC1"/>
    <w:rsid w:val="00746DA5"/>
    <w:rsid w:val="00751CD6"/>
    <w:rsid w:val="00753A20"/>
    <w:rsid w:val="0075644B"/>
    <w:rsid w:val="00765FB3"/>
    <w:rsid w:val="007705C6"/>
    <w:rsid w:val="00772FC8"/>
    <w:rsid w:val="007743AB"/>
    <w:rsid w:val="00775BBA"/>
    <w:rsid w:val="007818E8"/>
    <w:rsid w:val="00781BB9"/>
    <w:rsid w:val="00786509"/>
    <w:rsid w:val="007917C4"/>
    <w:rsid w:val="007933B9"/>
    <w:rsid w:val="007960A3"/>
    <w:rsid w:val="0079653F"/>
    <w:rsid w:val="0079734A"/>
    <w:rsid w:val="007A4A30"/>
    <w:rsid w:val="007B181F"/>
    <w:rsid w:val="007B3FA9"/>
    <w:rsid w:val="007B72E8"/>
    <w:rsid w:val="007D0BC8"/>
    <w:rsid w:val="007D36B6"/>
    <w:rsid w:val="007E33DD"/>
    <w:rsid w:val="007E6506"/>
    <w:rsid w:val="007F3CE9"/>
    <w:rsid w:val="007F4981"/>
    <w:rsid w:val="007F6C97"/>
    <w:rsid w:val="00816929"/>
    <w:rsid w:val="00816D54"/>
    <w:rsid w:val="0082134F"/>
    <w:rsid w:val="008312A2"/>
    <w:rsid w:val="00831BC6"/>
    <w:rsid w:val="00832664"/>
    <w:rsid w:val="00836009"/>
    <w:rsid w:val="00841302"/>
    <w:rsid w:val="00841E9F"/>
    <w:rsid w:val="00843199"/>
    <w:rsid w:val="00843358"/>
    <w:rsid w:val="008447AC"/>
    <w:rsid w:val="00850161"/>
    <w:rsid w:val="00856E34"/>
    <w:rsid w:val="00857D09"/>
    <w:rsid w:val="00861D7C"/>
    <w:rsid w:val="008716AF"/>
    <w:rsid w:val="0087409C"/>
    <w:rsid w:val="008821BA"/>
    <w:rsid w:val="00883A06"/>
    <w:rsid w:val="00894D0E"/>
    <w:rsid w:val="008A07FA"/>
    <w:rsid w:val="008A26FB"/>
    <w:rsid w:val="008B019C"/>
    <w:rsid w:val="008B1BB6"/>
    <w:rsid w:val="008B55FA"/>
    <w:rsid w:val="008D650C"/>
    <w:rsid w:val="008D7B01"/>
    <w:rsid w:val="008E187B"/>
    <w:rsid w:val="008E1A16"/>
    <w:rsid w:val="008E2E90"/>
    <w:rsid w:val="008E36B3"/>
    <w:rsid w:val="008E562D"/>
    <w:rsid w:val="008F2D15"/>
    <w:rsid w:val="008F6745"/>
    <w:rsid w:val="008F6793"/>
    <w:rsid w:val="009009AA"/>
    <w:rsid w:val="009025A7"/>
    <w:rsid w:val="0091112F"/>
    <w:rsid w:val="00915B34"/>
    <w:rsid w:val="00916223"/>
    <w:rsid w:val="00920E06"/>
    <w:rsid w:val="00926416"/>
    <w:rsid w:val="00940F7A"/>
    <w:rsid w:val="00952BAE"/>
    <w:rsid w:val="0095336B"/>
    <w:rsid w:val="00954E04"/>
    <w:rsid w:val="00955218"/>
    <w:rsid w:val="0095666C"/>
    <w:rsid w:val="00957B0D"/>
    <w:rsid w:val="00971716"/>
    <w:rsid w:val="00976582"/>
    <w:rsid w:val="009853B9"/>
    <w:rsid w:val="009902E4"/>
    <w:rsid w:val="00991E74"/>
    <w:rsid w:val="00992876"/>
    <w:rsid w:val="00995CAB"/>
    <w:rsid w:val="009A2A01"/>
    <w:rsid w:val="009A30D6"/>
    <w:rsid w:val="009A34F8"/>
    <w:rsid w:val="009B1A8F"/>
    <w:rsid w:val="009B32A4"/>
    <w:rsid w:val="009B5043"/>
    <w:rsid w:val="009D73D2"/>
    <w:rsid w:val="009E12D8"/>
    <w:rsid w:val="009E6976"/>
    <w:rsid w:val="009F13E1"/>
    <w:rsid w:val="009F1407"/>
    <w:rsid w:val="009F78F4"/>
    <w:rsid w:val="00A0065F"/>
    <w:rsid w:val="00A13674"/>
    <w:rsid w:val="00A143A5"/>
    <w:rsid w:val="00A14FD8"/>
    <w:rsid w:val="00A169E5"/>
    <w:rsid w:val="00A17A67"/>
    <w:rsid w:val="00A20916"/>
    <w:rsid w:val="00A26F84"/>
    <w:rsid w:val="00A33DE2"/>
    <w:rsid w:val="00A3507D"/>
    <w:rsid w:val="00A45953"/>
    <w:rsid w:val="00A47E71"/>
    <w:rsid w:val="00A5077C"/>
    <w:rsid w:val="00A5350C"/>
    <w:rsid w:val="00A5403C"/>
    <w:rsid w:val="00A57C11"/>
    <w:rsid w:val="00A623D6"/>
    <w:rsid w:val="00A62870"/>
    <w:rsid w:val="00A64557"/>
    <w:rsid w:val="00A73A01"/>
    <w:rsid w:val="00A91E60"/>
    <w:rsid w:val="00A96980"/>
    <w:rsid w:val="00A97E83"/>
    <w:rsid w:val="00AA0DA0"/>
    <w:rsid w:val="00AA2061"/>
    <w:rsid w:val="00AA3F5C"/>
    <w:rsid w:val="00AA453B"/>
    <w:rsid w:val="00AB12C5"/>
    <w:rsid w:val="00AC30E6"/>
    <w:rsid w:val="00AC4106"/>
    <w:rsid w:val="00AD009F"/>
    <w:rsid w:val="00AD126A"/>
    <w:rsid w:val="00AD3468"/>
    <w:rsid w:val="00AD54A3"/>
    <w:rsid w:val="00AD733D"/>
    <w:rsid w:val="00AD7547"/>
    <w:rsid w:val="00AE32C4"/>
    <w:rsid w:val="00AF12C7"/>
    <w:rsid w:val="00AF17FE"/>
    <w:rsid w:val="00AF1857"/>
    <w:rsid w:val="00AF20C6"/>
    <w:rsid w:val="00AF3511"/>
    <w:rsid w:val="00AF5B03"/>
    <w:rsid w:val="00AF761A"/>
    <w:rsid w:val="00B075CA"/>
    <w:rsid w:val="00B077DA"/>
    <w:rsid w:val="00B172AD"/>
    <w:rsid w:val="00B17589"/>
    <w:rsid w:val="00B17E81"/>
    <w:rsid w:val="00B17F69"/>
    <w:rsid w:val="00B2484B"/>
    <w:rsid w:val="00B378C4"/>
    <w:rsid w:val="00B404AA"/>
    <w:rsid w:val="00B40A0A"/>
    <w:rsid w:val="00B424FE"/>
    <w:rsid w:val="00B53058"/>
    <w:rsid w:val="00B54772"/>
    <w:rsid w:val="00B5635C"/>
    <w:rsid w:val="00B63482"/>
    <w:rsid w:val="00B66A5D"/>
    <w:rsid w:val="00B67274"/>
    <w:rsid w:val="00B67669"/>
    <w:rsid w:val="00B82395"/>
    <w:rsid w:val="00B82701"/>
    <w:rsid w:val="00B909B1"/>
    <w:rsid w:val="00B911F9"/>
    <w:rsid w:val="00B924B5"/>
    <w:rsid w:val="00B94EC9"/>
    <w:rsid w:val="00BA72CE"/>
    <w:rsid w:val="00BB1DF5"/>
    <w:rsid w:val="00BD1E7D"/>
    <w:rsid w:val="00BE0433"/>
    <w:rsid w:val="00BE24AE"/>
    <w:rsid w:val="00BE69EF"/>
    <w:rsid w:val="00BF0458"/>
    <w:rsid w:val="00BF15D0"/>
    <w:rsid w:val="00BF5E29"/>
    <w:rsid w:val="00BF7220"/>
    <w:rsid w:val="00C02986"/>
    <w:rsid w:val="00C036F3"/>
    <w:rsid w:val="00C04D09"/>
    <w:rsid w:val="00C0641B"/>
    <w:rsid w:val="00C0670E"/>
    <w:rsid w:val="00C207BB"/>
    <w:rsid w:val="00C24995"/>
    <w:rsid w:val="00C24F25"/>
    <w:rsid w:val="00C25E81"/>
    <w:rsid w:val="00C32D7E"/>
    <w:rsid w:val="00C3541D"/>
    <w:rsid w:val="00C445A3"/>
    <w:rsid w:val="00C55924"/>
    <w:rsid w:val="00C56D74"/>
    <w:rsid w:val="00C7051E"/>
    <w:rsid w:val="00C72893"/>
    <w:rsid w:val="00C72E4A"/>
    <w:rsid w:val="00C82930"/>
    <w:rsid w:val="00C86C8A"/>
    <w:rsid w:val="00C90855"/>
    <w:rsid w:val="00CB0066"/>
    <w:rsid w:val="00CB2A3B"/>
    <w:rsid w:val="00CC18E0"/>
    <w:rsid w:val="00CC1E9E"/>
    <w:rsid w:val="00CC2C1A"/>
    <w:rsid w:val="00CE6933"/>
    <w:rsid w:val="00CF479F"/>
    <w:rsid w:val="00D116B5"/>
    <w:rsid w:val="00D11D33"/>
    <w:rsid w:val="00D14775"/>
    <w:rsid w:val="00D152D6"/>
    <w:rsid w:val="00D207CA"/>
    <w:rsid w:val="00D27393"/>
    <w:rsid w:val="00D30FEF"/>
    <w:rsid w:val="00D31884"/>
    <w:rsid w:val="00D33059"/>
    <w:rsid w:val="00D346C9"/>
    <w:rsid w:val="00D346FE"/>
    <w:rsid w:val="00D37AE0"/>
    <w:rsid w:val="00D42BD1"/>
    <w:rsid w:val="00D44F45"/>
    <w:rsid w:val="00D51236"/>
    <w:rsid w:val="00D54CEE"/>
    <w:rsid w:val="00D56130"/>
    <w:rsid w:val="00D60296"/>
    <w:rsid w:val="00D60C7D"/>
    <w:rsid w:val="00D65FC1"/>
    <w:rsid w:val="00D76C75"/>
    <w:rsid w:val="00D83158"/>
    <w:rsid w:val="00D85CC3"/>
    <w:rsid w:val="00DA69AF"/>
    <w:rsid w:val="00DB4D5B"/>
    <w:rsid w:val="00DB6AFB"/>
    <w:rsid w:val="00DC14E2"/>
    <w:rsid w:val="00DC7A27"/>
    <w:rsid w:val="00DC7DD5"/>
    <w:rsid w:val="00DD3198"/>
    <w:rsid w:val="00DD6079"/>
    <w:rsid w:val="00DE2D44"/>
    <w:rsid w:val="00DE4055"/>
    <w:rsid w:val="00DE44B8"/>
    <w:rsid w:val="00DE4A39"/>
    <w:rsid w:val="00DE7F75"/>
    <w:rsid w:val="00DF343D"/>
    <w:rsid w:val="00E0059D"/>
    <w:rsid w:val="00E05071"/>
    <w:rsid w:val="00E05CBB"/>
    <w:rsid w:val="00E076F4"/>
    <w:rsid w:val="00E10352"/>
    <w:rsid w:val="00E132F0"/>
    <w:rsid w:val="00E151C6"/>
    <w:rsid w:val="00E15D6D"/>
    <w:rsid w:val="00E1621D"/>
    <w:rsid w:val="00E43707"/>
    <w:rsid w:val="00E439C5"/>
    <w:rsid w:val="00E44714"/>
    <w:rsid w:val="00E46523"/>
    <w:rsid w:val="00E47F17"/>
    <w:rsid w:val="00E5016C"/>
    <w:rsid w:val="00E51A5D"/>
    <w:rsid w:val="00E549E8"/>
    <w:rsid w:val="00E570C9"/>
    <w:rsid w:val="00E659A5"/>
    <w:rsid w:val="00E76C0B"/>
    <w:rsid w:val="00E81B76"/>
    <w:rsid w:val="00E8271B"/>
    <w:rsid w:val="00E920B5"/>
    <w:rsid w:val="00E9273C"/>
    <w:rsid w:val="00E93807"/>
    <w:rsid w:val="00E95C87"/>
    <w:rsid w:val="00E96D2F"/>
    <w:rsid w:val="00EA2CC7"/>
    <w:rsid w:val="00EA4985"/>
    <w:rsid w:val="00EA5B8A"/>
    <w:rsid w:val="00EB1725"/>
    <w:rsid w:val="00EB1761"/>
    <w:rsid w:val="00EB6021"/>
    <w:rsid w:val="00EB6C9D"/>
    <w:rsid w:val="00EC1D2A"/>
    <w:rsid w:val="00EC4AD9"/>
    <w:rsid w:val="00ED641D"/>
    <w:rsid w:val="00ED6560"/>
    <w:rsid w:val="00ED7274"/>
    <w:rsid w:val="00EE3C78"/>
    <w:rsid w:val="00EE7128"/>
    <w:rsid w:val="00EF3031"/>
    <w:rsid w:val="00EF6E5B"/>
    <w:rsid w:val="00EF751D"/>
    <w:rsid w:val="00EF7A56"/>
    <w:rsid w:val="00F00631"/>
    <w:rsid w:val="00F06AD6"/>
    <w:rsid w:val="00F2039F"/>
    <w:rsid w:val="00F2492F"/>
    <w:rsid w:val="00F24E49"/>
    <w:rsid w:val="00F40ADA"/>
    <w:rsid w:val="00F45B29"/>
    <w:rsid w:val="00F52001"/>
    <w:rsid w:val="00F56238"/>
    <w:rsid w:val="00F5746F"/>
    <w:rsid w:val="00F649EF"/>
    <w:rsid w:val="00F728EE"/>
    <w:rsid w:val="00F810F5"/>
    <w:rsid w:val="00F83C70"/>
    <w:rsid w:val="00F863B2"/>
    <w:rsid w:val="00F90A8B"/>
    <w:rsid w:val="00F96441"/>
    <w:rsid w:val="00FB058B"/>
    <w:rsid w:val="00FB2994"/>
    <w:rsid w:val="00FD0ABE"/>
    <w:rsid w:val="00FD2623"/>
    <w:rsid w:val="00FD6A17"/>
    <w:rsid w:val="00FF7D4B"/>
    <w:rsid w:val="015D12AE"/>
    <w:rsid w:val="08105ECF"/>
    <w:rsid w:val="0C1C2B82"/>
    <w:rsid w:val="12CF473E"/>
    <w:rsid w:val="16F60045"/>
    <w:rsid w:val="19837EE6"/>
    <w:rsid w:val="19AD7647"/>
    <w:rsid w:val="1E256914"/>
    <w:rsid w:val="1EB60CFA"/>
    <w:rsid w:val="202C3E92"/>
    <w:rsid w:val="22382D69"/>
    <w:rsid w:val="231F27AB"/>
    <w:rsid w:val="23C0580E"/>
    <w:rsid w:val="297D154F"/>
    <w:rsid w:val="2AB913D3"/>
    <w:rsid w:val="2BBB2A1F"/>
    <w:rsid w:val="2E3203B9"/>
    <w:rsid w:val="2F3D4BFC"/>
    <w:rsid w:val="31C40E01"/>
    <w:rsid w:val="35F43F63"/>
    <w:rsid w:val="37836AAD"/>
    <w:rsid w:val="38907737"/>
    <w:rsid w:val="3BCC7CE6"/>
    <w:rsid w:val="3D503508"/>
    <w:rsid w:val="3E576057"/>
    <w:rsid w:val="3EFA2579"/>
    <w:rsid w:val="42A0628E"/>
    <w:rsid w:val="42DA61CD"/>
    <w:rsid w:val="44AA690B"/>
    <w:rsid w:val="45034FE0"/>
    <w:rsid w:val="469040B3"/>
    <w:rsid w:val="4A3F5306"/>
    <w:rsid w:val="4CB549AC"/>
    <w:rsid w:val="4D487D95"/>
    <w:rsid w:val="4F526DAA"/>
    <w:rsid w:val="51A90321"/>
    <w:rsid w:val="53A925EC"/>
    <w:rsid w:val="53BF6C95"/>
    <w:rsid w:val="58D6522F"/>
    <w:rsid w:val="5FBA2396"/>
    <w:rsid w:val="63CB1791"/>
    <w:rsid w:val="69AD2C3B"/>
    <w:rsid w:val="6F513DB7"/>
    <w:rsid w:val="6F971D3D"/>
    <w:rsid w:val="705A6D81"/>
    <w:rsid w:val="716E2DB1"/>
    <w:rsid w:val="7470599A"/>
    <w:rsid w:val="78625DC4"/>
    <w:rsid w:val="7B877B04"/>
    <w:rsid w:val="7CF220A7"/>
    <w:rsid w:val="7E9F3AE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Plain Text"/>
    <w:basedOn w:val="1"/>
    <w:qFormat/>
    <w:uiPriority w:val="0"/>
    <w:rPr>
      <w:rFonts w:ascii="宋体" w:hAnsi="Courier New" w:cs="Courier New"/>
      <w:szCs w:val="21"/>
    </w:rPr>
  </w:style>
  <w:style w:type="paragraph" w:styleId="3">
    <w:name w:val="Date"/>
    <w:basedOn w:val="1"/>
    <w:next w:val="1"/>
    <w:qFormat/>
    <w:uiPriority w:val="0"/>
    <w:pPr>
      <w:ind w:left="100" w:leftChars="2500"/>
    </w:pPr>
  </w:style>
  <w:style w:type="paragraph" w:styleId="4">
    <w:name w:val="Balloon Text"/>
    <w:basedOn w:val="1"/>
    <w:semiHidden/>
    <w:qFormat/>
    <w:uiPriority w:val="0"/>
    <w:rPr>
      <w:sz w:val="18"/>
      <w:szCs w:val="18"/>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yperlink"/>
    <w:basedOn w:val="9"/>
    <w:qFormat/>
    <w:uiPriority w:val="0"/>
    <w:rPr>
      <w:color w:val="0000FF"/>
      <w:u w:val="single"/>
    </w:rPr>
  </w:style>
  <w:style w:type="character" w:styleId="13">
    <w:name w:val="annotation reference"/>
    <w:basedOn w:val="9"/>
    <w:semiHidden/>
    <w:qFormat/>
    <w:uiPriority w:val="0"/>
    <w:rPr>
      <w:sz w:val="21"/>
      <w:szCs w:val="21"/>
    </w:rPr>
  </w:style>
  <w:style w:type="paragraph" w:customStyle="1" w:styleId="14">
    <w:name w:val="Char1 Char Char Char"/>
    <w:basedOn w:val="1"/>
    <w:qFormat/>
    <w:uiPriority w:val="0"/>
    <w:rPr>
      <w:rFonts w:ascii="Tahoma" w:hAnsi="Tahoma"/>
      <w:sz w:val="24"/>
      <w:szCs w:val="20"/>
    </w:rPr>
  </w:style>
  <w:style w:type="character" w:customStyle="1" w:styleId="15">
    <w:name w:val="font01"/>
    <w:basedOn w:val="9"/>
    <w:qFormat/>
    <w:uiPriority w:val="0"/>
    <w:rPr>
      <w:rFonts w:hint="default" w:ascii="Calibri" w:hAnsi="Calibri" w:cs="Calibri"/>
      <w:color w:val="000000"/>
      <w:sz w:val="32"/>
      <w:szCs w:val="32"/>
      <w:u w:val="none"/>
    </w:rPr>
  </w:style>
  <w:style w:type="character" w:customStyle="1" w:styleId="16">
    <w:name w:val="font31"/>
    <w:basedOn w:val="9"/>
    <w:qFormat/>
    <w:uiPriority w:val="0"/>
    <w:rPr>
      <w:rFonts w:hint="eastAsia" w:ascii="宋体" w:hAnsi="宋体" w:eastAsia="宋体" w:cs="宋体"/>
      <w:color w:val="000000"/>
      <w:sz w:val="32"/>
      <w:szCs w:val="32"/>
      <w:u w:val="none"/>
    </w:rPr>
  </w:style>
  <w:style w:type="character" w:customStyle="1" w:styleId="17">
    <w:name w:val="font51"/>
    <w:basedOn w:val="9"/>
    <w:qFormat/>
    <w:uiPriority w:val="0"/>
    <w:rPr>
      <w:rFonts w:hint="default" w:ascii="Calibri" w:hAnsi="Calibri" w:cs="Calibri"/>
      <w:color w:val="000000"/>
      <w:sz w:val="21"/>
      <w:szCs w:val="21"/>
      <w:u w:val="none"/>
    </w:rPr>
  </w:style>
  <w:style w:type="character" w:customStyle="1" w:styleId="18">
    <w:name w:val="font21"/>
    <w:basedOn w:val="9"/>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9B5D0A-0204-4215-AB63-CADE496E455E}">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9</Pages>
  <Words>701</Words>
  <Characters>4000</Characters>
  <Lines>33</Lines>
  <Paragraphs>9</Paragraphs>
  <TotalTime>2</TotalTime>
  <ScaleCrop>false</ScaleCrop>
  <LinksUpToDate>false</LinksUpToDate>
  <CharactersWithSpaces>4692</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2019-03-11T01:11:00Z</dcterms:created>
  <dc:creator>微软用户</dc:creator>
  <cp:lastModifiedBy>BLUE</cp:lastModifiedBy>
  <cp:lastPrinted>2019-01-18T07:36:00Z</cp:lastPrinted>
  <dcterms:modified xsi:type="dcterms:W3CDTF">2020-01-03T01:56:22Z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