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E3" w:rsidRPr="00D749E9" w:rsidRDefault="00D75D5D">
      <w:pPr>
        <w:rPr>
          <w:rFonts w:ascii="Times New Roman" w:eastAsia="黑体" w:hAnsi="Times New Roman" w:cs="Times New Roman"/>
          <w:szCs w:val="32"/>
        </w:rPr>
      </w:pPr>
      <w:r w:rsidRPr="00D749E9">
        <w:rPr>
          <w:rFonts w:ascii="Times New Roman" w:eastAsia="黑体" w:hAnsi="Times New Roman" w:cs="Times New Roman"/>
          <w:szCs w:val="32"/>
        </w:rPr>
        <w:t>附件</w:t>
      </w:r>
    </w:p>
    <w:p w:rsidR="00AD46E3" w:rsidRPr="00D749E9" w:rsidRDefault="00AD46E3">
      <w:pPr>
        <w:adjustRightInd w:val="0"/>
        <w:rPr>
          <w:rFonts w:ascii="Times New Roman" w:eastAsia="黑体" w:hAnsi="Times New Roman" w:cs="Times New Roman"/>
          <w:szCs w:val="32"/>
        </w:rPr>
      </w:pPr>
    </w:p>
    <w:p w:rsidR="00AD46E3" w:rsidRPr="00D749E9" w:rsidRDefault="00D75D5D">
      <w:pPr>
        <w:pStyle w:val="a3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749E9">
        <w:rPr>
          <w:rFonts w:ascii="Times New Roman" w:eastAsia="方正小标宋简体" w:hAnsi="Times New Roman" w:cs="Times New Roman"/>
          <w:sz w:val="44"/>
          <w:szCs w:val="44"/>
        </w:rPr>
        <w:t>吉林市房屋建筑和市政基础设施工程项目综合风险分级表</w:t>
      </w:r>
    </w:p>
    <w:p w:rsidR="00AD46E3" w:rsidRPr="00D749E9" w:rsidRDefault="00AD46E3">
      <w:pPr>
        <w:pStyle w:val="a3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943"/>
        <w:gridCol w:w="1111"/>
        <w:gridCol w:w="1136"/>
        <w:gridCol w:w="1580"/>
        <w:gridCol w:w="1934"/>
        <w:gridCol w:w="3773"/>
        <w:gridCol w:w="2180"/>
      </w:tblGrid>
      <w:tr w:rsidR="00AD46E3" w:rsidRPr="00D749E9">
        <w:trPr>
          <w:trHeight w:val="76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风险级别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建筑物</w:t>
            </w:r>
          </w:p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分类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使用性质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工程</w:t>
            </w:r>
          </w:p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规模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建造技术要求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周边环境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预期用途及人员密集情况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超规模危大分部</w:t>
            </w:r>
          </w:p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分项工程数目</w:t>
            </w:r>
          </w:p>
        </w:tc>
      </w:tr>
      <w:tr w:rsidR="00AD46E3" w:rsidRPr="00D749E9">
        <w:trPr>
          <w:trHeight w:val="1017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ind w:leftChars="-404" w:left="-1293" w:firstLine="1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低风险</w:t>
            </w:r>
          </w:p>
          <w:p w:rsidR="00AD46E3" w:rsidRPr="00D749E9" w:rsidRDefault="00D75D5D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低风险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厂房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建筑高度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米以下、地上建筑面积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万平方米以下（地下建筑面积不大于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平方米）的建筑工程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基坑开挖深度小于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钢结构安装工程跨度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36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悬挑式脚手架工程（分段架体搭设高度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米以下）；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4.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单跨跨度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;5.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用于钢结构安装等满堂支撑体系，单点集中荷载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千牛以下；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6.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未使用尚未制定国标、行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标、地标的新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技术、新工艺、新材料、新设备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不位于文物保护、建控地带、地下文物埋藏区，机要单位和名木古树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米范围内；周边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米范围内无化工厂、加油站、甲乙丙类液体和可燃气体储罐等建构筑物等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不生产易燃、易爆、有毒、有害物品、不涉及生态环境影响大的厂房；劳动密集型企业的生产加工车间的建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个</w:t>
            </w:r>
          </w:p>
        </w:tc>
      </w:tr>
      <w:tr w:rsidR="00AD46E3" w:rsidRPr="00D749E9">
        <w:trPr>
          <w:trHeight w:val="1261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仓库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不储存易燃、易爆、有毒、有害物品、不涉及生态环境影响大的仓库；非人员密集型场所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48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居住和居民服务建筑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住宅和配套服务建筑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不位于文物保护、建控地带、地下文物埋藏区，机要单位和名木古树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米范围内；周边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米范围内无化工厂、加油站、甲乙丙类液体和可燃气体储罐等建构筑物等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连片开发的项目除外；劳动密集型企业员工集体宿舍或学校集体宿舍的建筑面积应不大于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平方米；居住配套服务建筑室内儿童活动场所、老年人照料设施的建筑面积应不大于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62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公共建筑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商业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不销售易燃、易爆、有害、有毒物品；室内儿童活动场所的建筑面积应不大于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平方米；歌舞厅、放映厅、卡拉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OK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厅、夜总会、游艺厅、桑拿浴室、网吧、酒吧，具有娱乐功能的餐馆、茶馆、咖啡厅等的建筑面积应不大于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258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  <w:p w:rsidR="00AD46E3" w:rsidRPr="00D749E9" w:rsidRDefault="00AD46E3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办公</w:t>
            </w:r>
          </w:p>
          <w:p w:rsidR="00AD46E3" w:rsidRPr="00D749E9" w:rsidRDefault="00AD46E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AD46E3" w:rsidRPr="00D749E9" w:rsidRDefault="00AD46E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未设置化学或生物实验室的办公楼；不属于国家机关办公楼、电力调度楼、电信楼、邮政楼、防灾指挥调度楼、广播电视楼、档案楼；具有娱乐功能的餐馆、茶馆、咖啡厅的建筑面积应不大于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938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旅馆酒店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配套的会议、健身等休闲娱乐设施的建筑面积应不大于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平方米；具有娱乐功能的餐馆、茶馆、咖啡厅的建筑面积应不大于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844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文化建筑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室内儿童活动场所的文化建筑的建筑面积应不大于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平方米；寺庙、教堂的建筑面积应不大于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平方米；不属于公共展览馆、博物馆的展示厅；歌舞厅、放映厅、游艺厅等的建筑面积应不大于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平方米；影剧院，公共图书馆的阅览室的建筑面积应不大于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27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教育建筑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托儿所、幼儿园的儿童用房，儿童游乐厅等室内儿童活动场所，中小学校的教学楼、图书馆及食堂等的建筑面积应不大于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平方米的；大学教学楼、图书馆、食堂等的建筑面积不大于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83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体育建筑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营业性室内健身、休闲场馆的建筑面积应不大于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27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卫生建筑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医疗卫生公共建筑，不储存有腐蚀性、放射性的医疗药品、器械、有毒有害的医疗废物，功能单一；医院、疗养院的病房楼的建筑面积应不大于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平方米；医院的门诊楼的建筑面积应不大于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40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广播电影电视建筑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不属于广播电视楼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36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交通建筑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不属于生产、储存、装卸易燃易爆危险物品的工厂、仓库和专用车站、码头等；不属于城市轨道交通、隧道工程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83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其他建筑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不属于易燃易爆气体和液体的充装站、供应站、调压站等；不属于大型发电、变配电工程等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84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一般风险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厂房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建筑高度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-54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米；单体建筑地上或地下建筑面积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万平方米或群体建筑面积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万平方米以下，建筑高度不超过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米的公共建筑；单体建筑地上或地下建筑面积不超过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万平方米，总建筑面积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-5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万平方米的住宅小区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钢结构安装工程跨度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36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米以下，网架和索膜结构安装工程跨度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60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悬挑式脚手架工程（分段架体搭设高度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米以下）；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单跨跨度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米以下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;4.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用于钢结构安装等满堂支撑体系，单点集中荷载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千牛以下；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未使用尚未制定国标、行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标、地标的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新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技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 xml:space="preserve"> 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术、新工艺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不位于文物保护、建控地带、地下文物埋藏区，机要单位和名木古树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米范围内；周边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米至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米范围内有人员密集的建筑（大型公交枢纽、儿童活动场所、老年人照料设施、学校），医院、居民居住区、大型森林、化工厂、加油站、甲乙丙类液体和可燃气体储罐等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建构筑物等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劳动密集型企业的生产加工车间的建筑面积应不大于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个</w:t>
            </w:r>
          </w:p>
        </w:tc>
      </w:tr>
      <w:tr w:rsidR="00AD46E3" w:rsidRPr="00D749E9">
        <w:trPr>
          <w:trHeight w:val="2821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仓库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132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居住和居民服务建筑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住宅和配套服务建筑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不位于文物保护、建控地带、地下文物埋藏区，机要单位和名木古树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米范围内；周边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米至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米范围内有人员密集的建筑（大型公交枢纽、儿童活动场所、老年人照料设施、学校），大型森林、化工厂、加油站、甲乙丙类液体和可燃气体储罐等建构筑物等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住宅配套的室内儿童活动场所、老年人照料设施的建筑面积应不大于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709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公共建筑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商业建筑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商场、市场的建筑面积应不大于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平方米；商业建筑内的室内儿童活动场所建筑面积应不大于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520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办公建筑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799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旅馆酒店建筑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宾馆、饭店的建筑面积应不大于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799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文化建筑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会堂、公共展览馆、博物馆的展示厅的建筑面积应不大于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平方米；文化建筑的室内儿童活动场所建筑面积应不大于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032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教育建筑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托儿所、幼儿园的儿童用房，儿童游乐厅等室内儿童活动场所不大于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平方米的；大学图书馆、食堂等的建筑面积应不大于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2500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04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体育建筑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体育场馆的建筑面积应不大于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540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卫生建筑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医院、疗养院的病房楼的建筑面积应不大于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533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广播电影电视建筑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597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交通建筑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民用机场航站楼、客运车站候车室、客运码头候船厅的建筑面积应不大于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15000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21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其他建筑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不属于大型发电、变配电工程等</w:t>
            </w: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91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较大风险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厂房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建筑高度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-100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米的建筑工程；单体建筑面积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-10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万平方米或群体建筑面积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-30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万平方米的公共建筑；建筑面积大于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5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万平方米的住宅小区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钢结构安装工程跨度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36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米以上，网架和索膜结构安装工程跨度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60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米以上；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悬挑式脚手架工程（分段架体搭设高度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米以上）；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单跨跨度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米以上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;4.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用于钢结构安装等满堂支撑体系，单点集中荷载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7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千牛以上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米范围内有人员密集的建筑（大型公交枢纽、儿童活动场所、老年人照料设施、学校）；周边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200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米范围内无化工厂、加油站、甲乙丙类液体和可燃气体储罐等建构筑物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等</w:t>
            </w:r>
          </w:p>
        </w:tc>
        <w:tc>
          <w:tcPr>
            <w:tcW w:w="377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个</w:t>
            </w:r>
          </w:p>
        </w:tc>
      </w:tr>
      <w:tr w:rsidR="00AD46E3" w:rsidRPr="00D749E9">
        <w:trPr>
          <w:trHeight w:val="666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仓库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1038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居住和居民服务建筑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住宅和配套服务建筑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98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公共建筑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商业建筑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802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办公建筑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684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旅馆酒店建筑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361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文化建筑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12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教育建筑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341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体育建筑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17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卫生建筑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550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广播电影电视建筑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8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交通建筑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67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其他建筑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840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重大风险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高度超限工程、规则性超限工程、屋盖超限工程；建筑高度超过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米的建筑工程；单体建筑面积大于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10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万平方米或群体建筑面积大于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30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万平方米的公共建筑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3773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4</w:t>
            </w: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个及以上</w:t>
            </w:r>
          </w:p>
        </w:tc>
      </w:tr>
      <w:tr w:rsidR="00AD46E3" w:rsidRPr="00D749E9">
        <w:trPr>
          <w:trHeight w:val="870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居住和居民服务建筑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AD46E3" w:rsidRPr="00D749E9">
        <w:trPr>
          <w:trHeight w:val="475"/>
          <w:jc w:val="center"/>
        </w:trPr>
        <w:tc>
          <w:tcPr>
            <w:tcW w:w="1288" w:type="dxa"/>
            <w:vMerge/>
            <w:shd w:val="clear" w:color="auto" w:fill="auto"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公共建筑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D46E3" w:rsidRPr="00D749E9" w:rsidRDefault="00D75D5D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749E9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136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AD46E3" w:rsidRPr="00D749E9" w:rsidRDefault="00AD46E3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</w:tbl>
    <w:p w:rsidR="00AD46E3" w:rsidRDefault="00D75D5D">
      <w:pPr>
        <w:pStyle w:val="a3"/>
        <w:spacing w:line="300" w:lineRule="exact"/>
        <w:contextualSpacing/>
        <w:rPr>
          <w:rFonts w:ascii="Times New Roman" w:hAnsi="Times New Roman" w:cs="Times New Roman"/>
          <w:sz w:val="18"/>
          <w:szCs w:val="18"/>
        </w:rPr>
      </w:pPr>
      <w:r w:rsidRPr="00D749E9">
        <w:rPr>
          <w:rFonts w:ascii="Times New Roman" w:hAnsi="Times New Roman" w:cs="Times New Roman"/>
          <w:kern w:val="0"/>
          <w:sz w:val="18"/>
          <w:szCs w:val="18"/>
        </w:rPr>
        <w:t>注：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1.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低风险、一般风险、较大风险等级中，项目同时满足该等级所有风险因素要求，该等级即为项目对应的风险等级；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2.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重大风险等级中，项目满足其中任何一条风险因素要求（打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“/”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表示风险因素不限制的除外）即为重大风险；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3.</w:t>
      </w:r>
      <w:r w:rsidRPr="00D749E9">
        <w:rPr>
          <w:rFonts w:ascii="Times New Roman" w:hAnsi="Times New Roman" w:cs="Times New Roman"/>
          <w:kern w:val="0"/>
          <w:sz w:val="18"/>
          <w:szCs w:val="18"/>
        </w:rPr>
        <w:t>低风险、一般风险、较大风险等级中，项目不同时满足该等级所有风险因素要求时，先确定项目各风险因素对应的最低风险等级，然后选取其中的最高风险等级即为项目对应的风险等级。</w:t>
      </w:r>
    </w:p>
    <w:p w:rsidR="00AD46E3" w:rsidRDefault="00AD46E3">
      <w:pPr>
        <w:pStyle w:val="a3"/>
        <w:spacing w:line="560" w:lineRule="exact"/>
        <w:contextualSpacing/>
        <w:jc w:val="center"/>
        <w:rPr>
          <w:rFonts w:ascii="Times New Roman" w:hAnsi="Times New Roman" w:cs="Times New Roman"/>
          <w:sz w:val="13"/>
          <w:szCs w:val="13"/>
        </w:rPr>
      </w:pPr>
    </w:p>
    <w:sectPr w:rsidR="00AD46E3" w:rsidSect="00AD46E3">
      <w:footerReference w:type="even" r:id="rId7"/>
      <w:footerReference w:type="default" r:id="rId8"/>
      <w:pgSz w:w="16838" w:h="11906" w:orient="landscape"/>
      <w:pgMar w:top="1588" w:right="1928" w:bottom="1474" w:left="1814" w:header="851" w:footer="968" w:gutter="0"/>
      <w:cols w:space="425"/>
      <w:docGrid w:type="lines" w:linePitch="595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5D" w:rsidRDefault="00D75D5D" w:rsidP="00AD46E3">
      <w:r>
        <w:separator/>
      </w:r>
    </w:p>
  </w:endnote>
  <w:endnote w:type="continuationSeparator" w:id="1">
    <w:p w:rsidR="00D75D5D" w:rsidRDefault="00D75D5D" w:rsidP="00AD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E3" w:rsidRDefault="00AD46E3">
    <w:pPr>
      <w:pStyle w:val="a4"/>
    </w:pPr>
    <w:r>
      <w:pict>
        <v:rect id="矩形 2" o:spid="_x0000_s1027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OwqXMvwEAAIQDAAAOAAAAAAAAAAEAIAAAAB8BAABkcnMvZTJvRG9jLnhtbFBLBQYA&#10;AAAABgAGAFkBAABQBQAAAAA=&#10;" filled="f" stroked="f">
          <v:textbox style="mso-fit-shape-to-text:t" inset="0,0,0,0">
            <w:txbxContent>
              <w:p w:rsidR="00AD46E3" w:rsidRDefault="00AD46E3">
                <w:pPr>
                  <w:pStyle w:val="a4"/>
                </w:pPr>
                <w:r>
                  <w:fldChar w:fldCharType="begin"/>
                </w:r>
                <w:r w:rsidR="00D75D5D">
                  <w:instrText xml:space="preserve"> PAGE  \* MERGEFORMAT </w:instrText>
                </w:r>
                <w:r>
                  <w:fldChar w:fldCharType="separate"/>
                </w:r>
                <w:r w:rsidR="00D75D5D">
                  <w:t>- 6 -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E3" w:rsidRDefault="00AD46E3">
    <w:pPr>
      <w:pStyle w:val="a4"/>
    </w:pPr>
    <w:r>
      <w:pict>
        <v:rect id="矩形 1" o:spid="_x0000_s1026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XW5UtAAAAAFAQAADwAAAAAAAAABACAAAAAiAAAAZHJzL2Rvd25yZXYueG1sUEsBAhQAFAAA&#10;AAgAh07iQNZJiXa+AQAAhAMAAA4AAAAAAAAAAQAgAAAAHwEAAGRycy9lMm9Eb2MueG1sUEsFBgAA&#10;AAAGAAYAWQEAAE8FAAAAAA==&#10;" filled="f" stroked="f">
          <v:textbox style="mso-fit-shape-to-text:t" inset="0,0,0,0">
            <w:txbxContent>
              <w:p w:rsidR="00AD46E3" w:rsidRDefault="00AD46E3">
                <w:pPr>
                  <w:pStyle w:val="a4"/>
                  <w:rPr>
                    <w:rFonts w:asciiTheme="majorEastAsia" w:eastAsiaTheme="majorEastAsia" w:hAnsiTheme="majorEastAsia" w:cs="Times New Roman"/>
                    <w:sz w:val="21"/>
                    <w:szCs w:val="21"/>
                  </w:rPr>
                </w:pPr>
                <w:r>
                  <w:rPr>
                    <w:rFonts w:asciiTheme="majorEastAsia" w:eastAsiaTheme="majorEastAsia" w:hAnsiTheme="majorEastAsia" w:cs="Times New Roman"/>
                    <w:sz w:val="21"/>
                    <w:szCs w:val="21"/>
                  </w:rPr>
                  <w:fldChar w:fldCharType="begin"/>
                </w:r>
                <w:r w:rsidR="00D75D5D">
                  <w:rPr>
                    <w:rFonts w:asciiTheme="majorEastAsia" w:eastAsiaTheme="majorEastAsia" w:hAnsiTheme="majorEastAsia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="Times New Roman"/>
                    <w:sz w:val="21"/>
                    <w:szCs w:val="21"/>
                  </w:rPr>
                  <w:fldChar w:fldCharType="separate"/>
                </w:r>
                <w:r w:rsidR="00D749E9">
                  <w:rPr>
                    <w:rFonts w:asciiTheme="majorEastAsia" w:eastAsiaTheme="majorEastAsia" w:hAnsiTheme="majorEastAsia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Theme="majorEastAsia" w:eastAsiaTheme="majorEastAsia" w:hAnsiTheme="majorEastAsia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5D" w:rsidRDefault="00D75D5D" w:rsidP="00AD46E3">
      <w:r>
        <w:separator/>
      </w:r>
    </w:p>
  </w:footnote>
  <w:footnote w:type="continuationSeparator" w:id="1">
    <w:p w:rsidR="00D75D5D" w:rsidRDefault="00D75D5D" w:rsidP="00AD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rawingGridHorizontalSpacing w:val="158"/>
  <w:drawingGridVerticalSpacing w:val="59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lMTdmMzgwNjI4NmRjZDgyNDUzNzE3MDVmYzZjMDcifQ=="/>
  </w:docVars>
  <w:rsids>
    <w:rsidRoot w:val="000D54B2"/>
    <w:rsid w:val="00072DE1"/>
    <w:rsid w:val="0009565C"/>
    <w:rsid w:val="000D54B2"/>
    <w:rsid w:val="000F0A32"/>
    <w:rsid w:val="0013532A"/>
    <w:rsid w:val="00145C97"/>
    <w:rsid w:val="001E44FC"/>
    <w:rsid w:val="001E4F1D"/>
    <w:rsid w:val="00235D63"/>
    <w:rsid w:val="002D3BD6"/>
    <w:rsid w:val="002D4EC5"/>
    <w:rsid w:val="00393672"/>
    <w:rsid w:val="003E6CF6"/>
    <w:rsid w:val="0041626A"/>
    <w:rsid w:val="004A5C6A"/>
    <w:rsid w:val="00513B17"/>
    <w:rsid w:val="005B4602"/>
    <w:rsid w:val="005D1B97"/>
    <w:rsid w:val="0066687D"/>
    <w:rsid w:val="00686F2D"/>
    <w:rsid w:val="006D4AE8"/>
    <w:rsid w:val="006D5F72"/>
    <w:rsid w:val="00740AEF"/>
    <w:rsid w:val="007D42A6"/>
    <w:rsid w:val="008A447E"/>
    <w:rsid w:val="00A92371"/>
    <w:rsid w:val="00AD46E3"/>
    <w:rsid w:val="00B40563"/>
    <w:rsid w:val="00B4671B"/>
    <w:rsid w:val="00BD2DAA"/>
    <w:rsid w:val="00D06233"/>
    <w:rsid w:val="00D749E9"/>
    <w:rsid w:val="00D75D5D"/>
    <w:rsid w:val="00E363E0"/>
    <w:rsid w:val="00E45D54"/>
    <w:rsid w:val="00E72E9F"/>
    <w:rsid w:val="00EF07C9"/>
    <w:rsid w:val="01B446F6"/>
    <w:rsid w:val="02CE2C87"/>
    <w:rsid w:val="06224557"/>
    <w:rsid w:val="0662791D"/>
    <w:rsid w:val="08337FE2"/>
    <w:rsid w:val="08AC4379"/>
    <w:rsid w:val="0DCF4BF0"/>
    <w:rsid w:val="0E412E70"/>
    <w:rsid w:val="0ECA75ED"/>
    <w:rsid w:val="0F0F7410"/>
    <w:rsid w:val="1BCB2F91"/>
    <w:rsid w:val="1DDB7A7C"/>
    <w:rsid w:val="1F042555"/>
    <w:rsid w:val="22345814"/>
    <w:rsid w:val="225E3FD7"/>
    <w:rsid w:val="22C2000A"/>
    <w:rsid w:val="29691CC9"/>
    <w:rsid w:val="2B3F228C"/>
    <w:rsid w:val="2B8664FD"/>
    <w:rsid w:val="2CA927FA"/>
    <w:rsid w:val="2D257402"/>
    <w:rsid w:val="2FA71273"/>
    <w:rsid w:val="2FC57E55"/>
    <w:rsid w:val="31837ABD"/>
    <w:rsid w:val="33B06C9C"/>
    <w:rsid w:val="341C2CDB"/>
    <w:rsid w:val="36BE1422"/>
    <w:rsid w:val="3747298B"/>
    <w:rsid w:val="38865FCC"/>
    <w:rsid w:val="3BBC60A6"/>
    <w:rsid w:val="3D956E3B"/>
    <w:rsid w:val="3F070F75"/>
    <w:rsid w:val="3F181897"/>
    <w:rsid w:val="3FEC1367"/>
    <w:rsid w:val="44823C05"/>
    <w:rsid w:val="465F7242"/>
    <w:rsid w:val="46D54609"/>
    <w:rsid w:val="477E6905"/>
    <w:rsid w:val="48A51C70"/>
    <w:rsid w:val="495977F8"/>
    <w:rsid w:val="50C76A9F"/>
    <w:rsid w:val="534D6544"/>
    <w:rsid w:val="53AA34DD"/>
    <w:rsid w:val="56772E9D"/>
    <w:rsid w:val="5C5E1709"/>
    <w:rsid w:val="5C894B1F"/>
    <w:rsid w:val="5D2269E4"/>
    <w:rsid w:val="603309B6"/>
    <w:rsid w:val="637660EA"/>
    <w:rsid w:val="67844B3C"/>
    <w:rsid w:val="682A7C45"/>
    <w:rsid w:val="69004F74"/>
    <w:rsid w:val="6C3A19A5"/>
    <w:rsid w:val="6CC650E1"/>
    <w:rsid w:val="735C36EF"/>
    <w:rsid w:val="7421246D"/>
    <w:rsid w:val="74D4058D"/>
    <w:rsid w:val="79472B65"/>
    <w:rsid w:val="7ADC7DA0"/>
    <w:rsid w:val="7AEB131D"/>
    <w:rsid w:val="7D95173E"/>
    <w:rsid w:val="7E795768"/>
    <w:rsid w:val="7F58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E3"/>
    <w:pPr>
      <w:widowControl w:val="0"/>
      <w:jc w:val="both"/>
    </w:pPr>
    <w:rPr>
      <w:rFonts w:ascii="等线" w:eastAsiaTheme="minorEastAsia" w:hAnsi="等线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D46E3"/>
    <w:rPr>
      <w:rFonts w:ascii="宋体" w:hAnsi="Courier New"/>
      <w:szCs w:val="21"/>
    </w:rPr>
  </w:style>
  <w:style w:type="paragraph" w:styleId="a4">
    <w:name w:val="footer"/>
    <w:basedOn w:val="a"/>
    <w:qFormat/>
    <w:rsid w:val="00AD46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D46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2840</Characters>
  <Application>Microsoft Office Word</Application>
  <DocSecurity>0</DocSecurity>
  <Lines>23</Lines>
  <Paragraphs>6</Paragraphs>
  <ScaleCrop>false</ScaleCrop>
  <Company>china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KingChu</dc:creator>
  <cp:lastModifiedBy>微软用户</cp:lastModifiedBy>
  <cp:revision>2</cp:revision>
  <cp:lastPrinted>2022-07-14T05:02:00Z</cp:lastPrinted>
  <dcterms:created xsi:type="dcterms:W3CDTF">2022-08-05T07:36:00Z</dcterms:created>
  <dcterms:modified xsi:type="dcterms:W3CDTF">2022-08-05T07:36:00Z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E9BAA9BE4ECB4F34809BCAB3486F2199</vt:lpwstr>
  </property>
</Properties>
</file>